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EF15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ASSESSMENT OF BANK EROSION VARIABILITY IN RIYADH CATCHMENT, AKKO LOCAL GOVERNMENT AREA, GOMBE STATE, NIGERIA</w:t>
      </w:r>
    </w:p>
    <w:p w14:paraId="45DB43D4">
      <w:pPr>
        <w:spacing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1</w:t>
      </w:r>
      <w:r>
        <w:rPr>
          <w:rFonts w:ascii="Times New Roman" w:hAnsi="Times New Roman" w:cs="Times New Roman"/>
          <w:b/>
          <w:sz w:val="24"/>
          <w:szCs w:val="24"/>
        </w:rPr>
        <w:t xml:space="preserve">Sadeeq Abdulrasheed, </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Didams Gideon, </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Mary Adamu Baka  </w:t>
      </w:r>
      <w:r>
        <w:rPr>
          <w:rFonts w:ascii="Times New Roman" w:hAnsi="Times New Roman" w:cs="Times New Roman"/>
          <w:b/>
          <w:sz w:val="24"/>
          <w:szCs w:val="24"/>
          <w:vertAlign w:val="superscript"/>
        </w:rPr>
        <w:t>2</w:t>
      </w:r>
      <w:r>
        <w:rPr>
          <w:rFonts w:ascii="Times New Roman" w:hAnsi="Times New Roman" w:cs="Times New Roman"/>
          <w:b/>
          <w:sz w:val="24"/>
          <w:szCs w:val="24"/>
        </w:rPr>
        <w:t>Hauwa Abubakar</w:t>
      </w:r>
    </w:p>
    <w:p w14:paraId="5CF98014">
      <w:pPr>
        <w:spacing w:after="0" w:line="240" w:lineRule="auto"/>
        <w:jc w:val="center"/>
        <w:rPr>
          <w:rFonts w:ascii="Times New Roman" w:hAnsi="Times New Roman" w:cs="Times New Roman"/>
          <w:sz w:val="24"/>
          <w:szCs w:val="24"/>
        </w:rPr>
      </w:pPr>
      <w:r>
        <w:rPr>
          <w:rFonts w:ascii="Times New Roman" w:hAnsi="Times New Roman" w:cs="Times New Roman"/>
          <w:b/>
          <w:sz w:val="24"/>
          <w:szCs w:val="24"/>
          <w:vertAlign w:val="superscript"/>
        </w:rPr>
        <w:t>1</w:t>
      </w:r>
      <w:r>
        <w:rPr>
          <w:rFonts w:ascii="Times New Roman" w:hAnsi="Times New Roman" w:cs="Times New Roman"/>
          <w:sz w:val="24"/>
          <w:szCs w:val="24"/>
        </w:rPr>
        <w:t>Department of Geography and Environmental Management</w:t>
      </w:r>
      <w:r>
        <w:rPr>
          <w:rFonts w:hint="default" w:ascii="Times New Roman" w:hAnsi="Times New Roman" w:cs="Times New Roman"/>
          <w:sz w:val="24"/>
          <w:szCs w:val="24"/>
          <w:lang w:val="en-US"/>
        </w:rPr>
        <w:t xml:space="preserve"> </w:t>
      </w:r>
      <w:r>
        <w:rPr>
          <w:rFonts w:ascii="Times New Roman" w:hAnsi="Times New Roman" w:cs="Times New Roman"/>
          <w:sz w:val="24"/>
          <w:szCs w:val="24"/>
        </w:rPr>
        <w:t>Faculty of Sciences, Gombe State University, Nigeria</w:t>
      </w:r>
    </w:p>
    <w:p w14:paraId="6A8991A0">
      <w:pPr>
        <w:spacing w:after="0" w:line="240" w:lineRule="auto"/>
        <w:jc w:val="center"/>
        <w:rPr>
          <w:rFonts w:ascii="Times New Roman" w:hAnsi="Times New Roman" w:cs="Times New Roman"/>
          <w:sz w:val="24"/>
          <w:szCs w:val="24"/>
        </w:rPr>
      </w:pPr>
      <w:r>
        <w:rPr>
          <w:rFonts w:ascii="Times New Roman" w:hAnsi="Times New Roman" w:cs="Times New Roman"/>
          <w:b/>
          <w:sz w:val="24"/>
          <w:szCs w:val="24"/>
          <w:vertAlign w:val="superscript"/>
        </w:rPr>
        <w:t>2</w:t>
      </w:r>
      <w:r>
        <w:rPr>
          <w:rFonts w:ascii="Times New Roman" w:hAnsi="Times New Roman" w:cs="Times New Roman"/>
          <w:sz w:val="24"/>
          <w:szCs w:val="24"/>
        </w:rPr>
        <w:t>Department of Science Education</w:t>
      </w:r>
      <w:r>
        <w:rPr>
          <w:rFonts w:hint="default" w:ascii="Times New Roman" w:hAnsi="Times New Roman" w:cs="Times New Roman"/>
          <w:sz w:val="24"/>
          <w:szCs w:val="24"/>
          <w:lang w:val="en-US"/>
        </w:rPr>
        <w:t xml:space="preserve"> </w:t>
      </w:r>
      <w:r>
        <w:rPr>
          <w:rFonts w:ascii="Times New Roman" w:hAnsi="Times New Roman" w:cs="Times New Roman"/>
          <w:sz w:val="24"/>
          <w:szCs w:val="24"/>
        </w:rPr>
        <w:t>Faculty of Education, Gombe State University, Nigeria</w:t>
      </w:r>
    </w:p>
    <w:p w14:paraId="3B7D30FC">
      <w:pPr>
        <w:tabs>
          <w:tab w:val="center" w:pos="4680"/>
          <w:tab w:val="left" w:pos="8549"/>
        </w:tabs>
        <w:spacing w:after="0" w:line="240" w:lineRule="auto"/>
        <w:jc w:val="center"/>
        <w:rPr>
          <w:rStyle w:val="10"/>
          <w:rFonts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eastAsia="SimSun" w:cs="Times New Roman"/>
          <w:color w:val="auto"/>
          <w:kern w:val="0"/>
          <w:sz w:val="24"/>
          <w:szCs w:val="24"/>
          <w:u w:val="none"/>
          <w:lang w:val="en-US" w:eastAsia="zh-CN" w:bidi="ar"/>
        </w:rPr>
        <w:t xml:space="preserve">Corresponding author’s email: </w:t>
      </w:r>
      <w:r>
        <w:rPr>
          <w:rFonts w:ascii="Times New Roman" w:hAnsi="Times New Roman" w:cs="Times New Roman"/>
          <w:sz w:val="24"/>
          <w:szCs w:val="24"/>
        </w:rPr>
        <w:t xml:space="preserve">sadeeqabdul360@gsu.edu.ng/ </w:t>
      </w:r>
      <w:r>
        <w:fldChar w:fldCharType="begin"/>
      </w:r>
      <w:r>
        <w:instrText xml:space="preserve"> HYPERLINK "mailto:sadeeqabdul360@gmail.com" </w:instrText>
      </w:r>
      <w:r>
        <w:fldChar w:fldCharType="separate"/>
      </w:r>
      <w:r>
        <w:rPr>
          <w:rStyle w:val="10"/>
          <w:rFonts w:ascii="Times New Roman" w:hAnsi="Times New Roman" w:cs="Times New Roman"/>
          <w:color w:val="000000" w:themeColor="text1"/>
          <w:sz w:val="24"/>
          <w:szCs w:val="24"/>
          <w:u w:val="none"/>
          <w14:textFill>
            <w14:solidFill>
              <w14:schemeClr w14:val="tx1"/>
            </w14:solidFill>
          </w14:textFill>
        </w:rPr>
        <w:t>sadeeqabdul360@gmail.com</w:t>
      </w:r>
      <w:r>
        <w:rPr>
          <w:rStyle w:val="10"/>
          <w:rFonts w:ascii="Times New Roman" w:hAnsi="Times New Roman" w:cs="Times New Roman"/>
          <w:color w:val="000000" w:themeColor="text1"/>
          <w:sz w:val="24"/>
          <w:szCs w:val="24"/>
          <w:u w:val="none"/>
          <w14:textFill>
            <w14:solidFill>
              <w14:schemeClr w14:val="tx1"/>
            </w14:solidFill>
          </w14:textFill>
        </w:rPr>
        <w:fldChar w:fldCharType="end"/>
      </w:r>
    </w:p>
    <w:p w14:paraId="752B2BD9">
      <w:pPr>
        <w:tabs>
          <w:tab w:val="center" w:pos="4680"/>
          <w:tab w:val="left" w:pos="8549"/>
        </w:tabs>
        <w:spacing w:after="0" w:line="240" w:lineRule="auto"/>
        <w:jc w:val="center"/>
        <w:rPr>
          <w:rStyle w:val="10"/>
          <w:rFonts w:ascii="Times New Roman" w:hAnsi="Times New Roman" w:cs="Times New Roman"/>
          <w:color w:val="000000" w:themeColor="text1"/>
          <w:sz w:val="24"/>
          <w:szCs w:val="24"/>
          <w:u w:val="none"/>
          <w14:textFill>
            <w14:solidFill>
              <w14:schemeClr w14:val="tx1"/>
            </w14:solidFill>
          </w14:textFill>
        </w:rPr>
      </w:pPr>
      <w:r>
        <w:rPr>
          <w:rStyle w:val="10"/>
          <w:rFonts w:ascii="Times New Roman" w:hAnsi="Times New Roman" w:cs="Times New Roman"/>
          <w:color w:val="000000" w:themeColor="text1"/>
          <w:sz w:val="24"/>
          <w:szCs w:val="24"/>
          <w:u w:val="none"/>
          <w14:textFill>
            <w14:solidFill>
              <w14:schemeClr w14:val="tx1"/>
            </w14:solidFill>
          </w14:textFill>
        </w:rPr>
        <w:t>https//orcid.org/0000-0003-4186-4406</w:t>
      </w:r>
    </w:p>
    <w:p w14:paraId="409E1A58">
      <w:pPr>
        <w:tabs>
          <w:tab w:val="center" w:pos="4680"/>
          <w:tab w:val="left" w:pos="8549"/>
        </w:tabs>
        <w:spacing w:after="0" w:line="240" w:lineRule="auto"/>
        <w:jc w:val="center"/>
        <w:rPr>
          <w:rFonts w:ascii="Times New Roman" w:hAnsi="Times New Roman" w:cs="Times New Roman"/>
          <w:sz w:val="24"/>
          <w:szCs w:val="24"/>
          <w:u w:val="single"/>
        </w:rPr>
      </w:pPr>
    </w:p>
    <w:p w14:paraId="39CEA55F">
      <w:pPr>
        <w:jc w:val="both"/>
        <w:rPr>
          <w:rFonts w:ascii="Times New Roman" w:hAnsi="Times New Roman" w:cs="Times New Roman"/>
          <w:i/>
          <w:sz w:val="24"/>
          <w:szCs w:val="24"/>
        </w:rPr>
      </w:pPr>
      <w:r>
        <w:rPr>
          <w:rFonts w:ascii="Times New Roman" w:hAnsi="Times New Roman"/>
          <w:i/>
          <w:sz w:val="24"/>
          <w:szCs w:val="24"/>
        </w:rPr>
        <w:t>This study assessed</w:t>
      </w:r>
      <w:r>
        <w:rPr>
          <w:rFonts w:ascii="Times New Roman" w:hAnsi="Times New Roman" w:cs="Times New Roman"/>
          <w:i/>
          <w:sz w:val="24"/>
          <w:szCs w:val="24"/>
        </w:rPr>
        <w:t xml:space="preserve"> how riverbank erosion varies across the Riyadh Catchment in Akko Local Government Area, Gombe State, Nigeria, and what factors are responsible for it. Both natural conditions and human activities were considered. Field data were collected from 19 cross-sections spaced about 300 meters apart along the river, while additional data came from satellite imagery, existing literature, and institutional sources. The analysis was carried out using QGIS and IBM SPSS.</w:t>
      </w:r>
      <w:r>
        <w:rPr>
          <w:rFonts w:ascii="Times New Roman" w:hAnsi="Times New Roman"/>
          <w:i/>
          <w:sz w:val="24"/>
          <w:szCs w:val="24"/>
        </w:rPr>
        <w:t xml:space="preserve"> </w:t>
      </w:r>
      <w:r>
        <w:rPr>
          <w:rFonts w:ascii="Times New Roman" w:hAnsi="Times New Roman" w:cs="Times New Roman"/>
          <w:i/>
          <w:sz w:val="24"/>
          <w:szCs w:val="24"/>
        </w:rPr>
        <w:t>The findings show that over 90% of the catchment is underlain by the loose Keri-Keri Formation, making the riverbanks highly vulnerable to erosion. The area receives an average annual rainfall of about 800 mm. River discharge averages 5 m³/s but rises sharply to about 15 m³/s during the rainy season, increasing erosion intensity.</w:t>
      </w:r>
      <w:r>
        <w:rPr>
          <w:rFonts w:ascii="Times New Roman" w:hAnsi="Times New Roman"/>
          <w:i/>
          <w:sz w:val="24"/>
          <w:szCs w:val="24"/>
        </w:rPr>
        <w:t xml:space="preserve"> </w:t>
      </w:r>
      <w:r>
        <w:rPr>
          <w:rFonts w:ascii="Times New Roman" w:hAnsi="Times New Roman" w:cs="Times New Roman"/>
          <w:i/>
          <w:sz w:val="24"/>
          <w:szCs w:val="24"/>
        </w:rPr>
        <w:t>Land use patterns reveal strong human influence: 57% of the land is urbanized, 27% is barren, 9% is farmland, 5% is covered by vegetation, and 2% consists of water bodies. Erosion rates vary along the river, with the lower reach experiencing the highest rate at 1.2 m/year, followed by the middle reach at 0.8 m/year, and the upper reach at 0.5 m/year. The river channel also becomes wider and deeper downstream.</w:t>
      </w:r>
      <w:r>
        <w:rPr>
          <w:rFonts w:ascii="Times New Roman" w:hAnsi="Times New Roman"/>
          <w:i/>
          <w:sz w:val="24"/>
          <w:szCs w:val="24"/>
        </w:rPr>
        <w:t xml:space="preserve"> </w:t>
      </w:r>
      <w:r>
        <w:rPr>
          <w:rFonts w:ascii="Times New Roman" w:hAnsi="Times New Roman" w:cs="Times New Roman"/>
          <w:i/>
          <w:sz w:val="24"/>
          <w:szCs w:val="24"/>
        </w:rPr>
        <w:t>Overall, the study shows that erosion in the catchment is driven by a combination of fragile geology, seasonal increases in water flow, and intensive human activities, particularly urban expansion, highlighting the need for better land and watershed management.</w:t>
      </w:r>
    </w:p>
    <w:p w14:paraId="67518A40">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Keywords: </w:t>
      </w:r>
      <w:r>
        <w:rPr>
          <w:rFonts w:ascii="Times New Roman" w:hAnsi="Times New Roman" w:cs="Times New Roman"/>
          <w:i/>
          <w:sz w:val="24"/>
          <w:szCs w:val="24"/>
        </w:rPr>
        <w:t>Bank Erosion, Variability,</w:t>
      </w:r>
      <w:r>
        <w:rPr>
          <w:rFonts w:ascii="Times New Roman" w:hAnsi="Times New Roman" w:cs="Times New Roman"/>
          <w:b/>
          <w:i/>
          <w:sz w:val="24"/>
          <w:szCs w:val="24"/>
        </w:rPr>
        <w:t xml:space="preserve"> </w:t>
      </w:r>
      <w:r>
        <w:rPr>
          <w:rFonts w:ascii="Times New Roman" w:hAnsi="Times New Roman" w:cs="Times New Roman"/>
          <w:i/>
          <w:sz w:val="24"/>
          <w:szCs w:val="24"/>
        </w:rPr>
        <w:t>Cross-Profile, Riyadh Catchment, Gombe state.</w:t>
      </w:r>
    </w:p>
    <w:p w14:paraId="1FE94B43">
      <w:pPr>
        <w:spacing w:line="240" w:lineRule="auto"/>
        <w:jc w:val="both"/>
        <w:rPr>
          <w:rFonts w:ascii="Times New Roman" w:hAnsi="Times New Roman" w:cs="Times New Roman"/>
          <w:sz w:val="24"/>
          <w:szCs w:val="24"/>
        </w:rPr>
      </w:pPr>
    </w:p>
    <w:p w14:paraId="587E7C83">
      <w:pPr>
        <w:pStyle w:val="13"/>
        <w:numPr>
          <w:ilvl w:val="0"/>
          <w:numId w:val="1"/>
        </w:numPr>
        <w:tabs>
          <w:tab w:val="left" w:pos="360"/>
        </w:tabs>
        <w:spacing w:line="240" w:lineRule="auto"/>
        <w:ind w:left="0" w:firstLine="90"/>
        <w:jc w:val="both"/>
        <w:rPr>
          <w:rFonts w:ascii="Times New Roman" w:hAnsi="Times New Roman" w:cs="Times New Roman"/>
          <w:b/>
          <w:sz w:val="24"/>
          <w:szCs w:val="24"/>
        </w:rPr>
      </w:pPr>
      <w:r>
        <w:rPr>
          <w:rFonts w:ascii="Times New Roman" w:hAnsi="Times New Roman" w:cs="Times New Roman"/>
          <w:b/>
          <w:sz w:val="24"/>
          <w:szCs w:val="24"/>
        </w:rPr>
        <w:t>INTRODUCTION</w:t>
      </w:r>
    </w:p>
    <w:p w14:paraId="4196ACE7">
      <w:pPr>
        <w:autoSpaceDE w:val="0"/>
        <w:autoSpaceDN w:val="0"/>
        <w:adjustRightInd w:val="0"/>
        <w:spacing w:line="240" w:lineRule="auto"/>
        <w:jc w:val="both"/>
        <w:rPr>
          <w:rFonts w:ascii="Times New Roman" w:hAnsi="Times New Roman" w:eastAsia="MyriadPro-Regular" w:cs="Times New Roman"/>
          <w:color w:val="000000"/>
          <w:sz w:val="24"/>
          <w:szCs w:val="24"/>
        </w:rPr>
      </w:pPr>
      <w:r>
        <w:rPr>
          <w:rFonts w:ascii="Times New Roman" w:hAnsi="Times New Roman" w:eastAsia="MyriadPro-Regular" w:cs="Times New Roman"/>
          <w:color w:val="000000"/>
          <w:sz w:val="24"/>
          <w:szCs w:val="24"/>
        </w:rPr>
        <w:t>Riverbank erosion is an inevitable natural phenomenon of any floodplain region. Bank erosion involves the mechanism of removal of bank materials from river banks by the fluvial actions like channel head pressure, velocity, discharge etc. The fluvial erosion takes place when the shear stress exceeds and the basal support is collapsed. Liquefaction of basal materials of a riverbank occurs when the effluent flow of ground water added into the river (</w:t>
      </w:r>
      <w:r>
        <w:rPr>
          <w:rFonts w:ascii="Times New Roman" w:hAnsi="Times New Roman" w:eastAsia="MyriadPro-Regular" w:cs="Times New Roman"/>
          <w:sz w:val="24"/>
          <w:szCs w:val="24"/>
        </w:rPr>
        <w:t>Ghosh, 2019)</w:t>
      </w:r>
      <w:r>
        <w:rPr>
          <w:rFonts w:ascii="Times New Roman" w:hAnsi="Times New Roman" w:eastAsia="MyriadPro-Regular" w:cs="Times New Roman"/>
          <w:color w:val="000000"/>
          <w:sz w:val="24"/>
          <w:szCs w:val="24"/>
        </w:rPr>
        <w:t>. Though the bank erosion is a natural and unimpeded phenomenon but it accelerates by anthropogenic interferences like changes of LULC over the time. The flood plains are the most endangered geomorphic units struggling against enhanced land use pressure (Tiwari, 2000</w:t>
      </w:r>
      <w:r>
        <w:rPr>
          <w:rFonts w:ascii="Times New Roman" w:hAnsi="Times New Roman" w:eastAsia="MyriadPro-Regular" w:cs="Times New Roman"/>
          <w:sz w:val="24"/>
          <w:szCs w:val="24"/>
        </w:rPr>
        <w:t xml:space="preserve">; </w:t>
      </w:r>
      <w:r>
        <w:rPr>
          <w:rFonts w:ascii="Times New Roman" w:hAnsi="Times New Roman" w:eastAsia="MyriadPro-Regular" w:cs="Times New Roman"/>
          <w:color w:val="000000"/>
          <w:sz w:val="24"/>
          <w:szCs w:val="24"/>
        </w:rPr>
        <w:t xml:space="preserve">Chen </w:t>
      </w:r>
      <w:r>
        <w:rPr>
          <w:rFonts w:ascii="Times New Roman" w:hAnsi="Times New Roman" w:eastAsia="MyriadPro-Regular" w:cs="Times New Roman"/>
          <w:i/>
          <w:color w:val="000000"/>
          <w:sz w:val="24"/>
          <w:szCs w:val="24"/>
        </w:rPr>
        <w:t>et al</w:t>
      </w:r>
      <w:r>
        <w:rPr>
          <w:rFonts w:ascii="Times New Roman" w:hAnsi="Times New Roman" w:eastAsia="MyriadPro-Regular" w:cs="Times New Roman"/>
          <w:color w:val="000000"/>
          <w:sz w:val="24"/>
          <w:szCs w:val="24"/>
        </w:rPr>
        <w:t xml:space="preserve"> 2023) Riverbank failure is the process which is leading to the fact of shifting of the river and the ultimatum is normally excessive river bank erosion and the erosion study from the environmental point of view always been designated as a hazardous situation for the local inhabitants though it has geared-up by some anthropogenic interferences (Rudra, 2010). </w:t>
      </w:r>
    </w:p>
    <w:p w14:paraId="73938887">
      <w:pPr>
        <w:pStyle w:val="12"/>
        <w:spacing w:after="160"/>
        <w:jc w:val="both"/>
      </w:pPr>
      <w:r>
        <w:t xml:space="preserve">River cross section is a representation of the surface of the river that would be exposed if the relief feature or landform were cut through vertically at a point across the river’s channel and valley (Nimako, 2004; Mejia &amp; Reed, 2011). Cross sections or profiles of rivers change in shape from the upper to the lower course which Mejia and Reed described as parabolic or triangular as a result of changes in the river’s energy in performing work and the processes that the river carries out (Jackson, 2015 and Wanah, 2017). Alabyan &amp; Chalov (1998) looked at river channel patterns and their natural controls and evolved a morphological continuum, which they indicated was two-dimensional defined by plan features, which there were three: straight, meandering and branching. Their result also indicated that there were three structural levels of fluvial relief namely floodplain, flood channel and low-water channel. Their work was more qualitative than quantitative. Lack of measurement of stream channel parameters such as width and depth along the stream channel created a wide gap, which has to be addressed in order to make a statement on channel pattern. Observations of morphological plan on the surface may not be sufficient to permit making inferences on channel pattern. This study dwelt on measurement of depth and width of Riyadh River in order to define and characterize the morphological characteristics of the stream bank. </w:t>
      </w:r>
    </w:p>
    <w:p w14:paraId="7E0B4394">
      <w:pPr>
        <w:pStyle w:val="12"/>
        <w:spacing w:after="160"/>
        <w:jc w:val="both"/>
      </w:pPr>
      <w:r>
        <w:t xml:space="preserve">In studying river form and velocity, Waugh (1990) considered cross profiles of narrow and wide river channels and noted their influence on flow velocities. His work dwelled much on the hydraulics of stream flow and the volume of water the river discharges at a point, which he called hydraulic cross section of the river. His study did not considered situations in which rivers’ channel bed change in elevation, forming terraces on either side of the bank. At times, even the bed varies in depth, which, if not taken into account, may not give accurate volume of water being discharged at the point where quantification is being taken. Furthermore, resulting features such as channel depth, width, forms of bed and channel walls associated with the activity of rivers, and their implications on infrastructural development were not treated. The need for such studies cannot be overemphasized particularly when the rivers pass through or close to urban centers. </w:t>
      </w:r>
    </w:p>
    <w:p w14:paraId="47FAAEBB">
      <w:pPr>
        <w:pStyle w:val="12"/>
        <w:spacing w:after="160"/>
        <w:jc w:val="both"/>
      </w:pPr>
      <w:r>
        <w:t xml:space="preserve">Oyegoke &amp; Ifeadi (2007) applied Strahler’s system of stream ordering and investigated the relationship between drainage basin area and stream length to River Gongola. Having concentrated on drainage basin area and stream length, their work ignored the characteristics of the channel of river and thus their implications on structural developments such as agricultural, residential and transportation along and across the river in the light of the fact that river banks in Nigeria are inhabited by rapidly growing populations. </w:t>
      </w:r>
    </w:p>
    <w:p w14:paraId="5461586C">
      <w:pPr>
        <w:spacing w:line="240" w:lineRule="auto"/>
        <w:jc w:val="both"/>
        <w:rPr>
          <w:rFonts w:ascii="Times New Roman" w:hAnsi="Times New Roman" w:cs="Times New Roman"/>
          <w:sz w:val="24"/>
          <w:szCs w:val="24"/>
        </w:rPr>
      </w:pPr>
      <w:r>
        <w:rPr>
          <w:rFonts w:ascii="Times New Roman" w:hAnsi="Times New Roman" w:cs="Times New Roman"/>
          <w:sz w:val="24"/>
          <w:szCs w:val="24"/>
        </w:rPr>
        <w:t>Bank erosion poses a significant threat to the Riyadh Catchment in the Akko Local Government Area of Gombe State, Nigeria. While this issue is recognized locally, a comprehensive analysis is lacking, hindering effective mitigation and management efforts. Therefore, the research problem is to assess the bank erosion variability in the Riyadh Catchment. Hence, the specific objectives of the study are to: identify factors contributing to bank erosion, quantify the extent of bank erosion and analyze cross-profile variability of bank erosion in the study area</w:t>
      </w:r>
    </w:p>
    <w:p w14:paraId="3E826EF4">
      <w:pPr>
        <w:spacing w:line="240" w:lineRule="auto"/>
        <w:jc w:val="both"/>
        <w:rPr>
          <w:rFonts w:ascii="Times New Roman" w:hAnsi="Times New Roman" w:cs="Times New Roman"/>
          <w:b/>
          <w:sz w:val="24"/>
          <w:szCs w:val="24"/>
        </w:rPr>
      </w:pPr>
      <w:r>
        <w:rPr>
          <w:rFonts w:ascii="Times New Roman" w:hAnsi="Times New Roman" w:cs="Times New Roman"/>
          <w:b/>
          <w:sz w:val="24"/>
          <w:szCs w:val="24"/>
        </w:rPr>
        <w:t>2. MATERIALS AND METHOD</w:t>
      </w:r>
    </w:p>
    <w:p w14:paraId="13029ED5">
      <w:pPr>
        <w:spacing w:line="240" w:lineRule="auto"/>
        <w:jc w:val="both"/>
        <w:rPr>
          <w:rFonts w:ascii="Times New Roman" w:hAnsi="Times New Roman" w:cs="Times New Roman"/>
          <w:b/>
          <w:sz w:val="24"/>
          <w:szCs w:val="24"/>
        </w:rPr>
      </w:pPr>
      <w:r>
        <w:rPr>
          <w:rFonts w:ascii="Times New Roman" w:hAnsi="Times New Roman" w:cs="Times New Roman"/>
          <w:b/>
          <w:sz w:val="24"/>
          <w:szCs w:val="24"/>
        </w:rPr>
        <w:t>2.1 Study area</w:t>
      </w:r>
    </w:p>
    <w:p w14:paraId="78B73483">
      <w:pPr>
        <w:autoSpaceDE w:val="0"/>
        <w:autoSpaceDN w:val="0"/>
        <w:adjustRightInd w:val="0"/>
        <w:spacing w:after="0" w:line="240" w:lineRule="auto"/>
        <w:jc w:val="both"/>
        <w:rPr>
          <w:rFonts w:ascii="Times New Roman" w:hAnsi="Times New Roman" w:cs="Times New Roman"/>
          <w:sz w:val="24"/>
          <w:szCs w:val="24"/>
          <w:lang w:val="en-GB" w:eastAsia="en-GB"/>
        </w:rPr>
      </w:pPr>
      <w:r>
        <w:rPr>
          <w:rFonts w:ascii="Times New Roman" w:hAnsi="Times New Roman" w:cs="Times New Roman"/>
          <w:sz w:val="24"/>
          <w:szCs w:val="24"/>
        </w:rPr>
        <w:t xml:space="preserve">The study area is in Riyadh, Akko Local Government Area of Gombe State but due to the closeness of the area to the state capital, it is considered part of Gombe metropolis. It is located between Latitude 10° 14' 40” N to 10° 16' 52” N and Longitude 11° 06' 05'' E to 11° 12' 30'' E (Fig. 1). </w:t>
      </w:r>
      <w:r>
        <w:rPr>
          <w:rFonts w:ascii="Times New Roman" w:hAnsi="Times New Roman" w:cs="Times New Roman"/>
          <w:sz w:val="24"/>
          <w:szCs w:val="24"/>
          <w:lang w:val="en-GB" w:eastAsia="en-GB"/>
        </w:rPr>
        <w:t xml:space="preserve">The study area consists of relatively low flat area lying between 440 m – 640 m above sea level. The area is made up of sedimentary rocks such as sandstone, which is underlain by crystalline complex rocks. These sedimentary formations of the late cretaceous have influenced topography of the area form a dissection and stream incision in the area which modified the landscape. Riyadh is geologically part of the Gongola basin, the exposure of non-marine Gombe sandstone a sequence of Albian coarse sandstone, occurs extensively in the study area. These are overlain recent tertiary Keri-Keri formation of estuarine origin comprising sandstone, siltstone and ironstone. The study area is within the groundwater province in the Gombe sandstone and Keri-Keri formation of the tertiary age </w:t>
      </w:r>
      <w:r>
        <w:rPr>
          <w:rFonts w:ascii="Times New Roman" w:hAnsi="Times New Roman" w:cs="Times New Roman"/>
          <w:sz w:val="24"/>
          <w:szCs w:val="24"/>
        </w:rPr>
        <w:t xml:space="preserve">(Ahmad </w:t>
      </w:r>
      <w:r>
        <w:t xml:space="preserve">&amp; </w:t>
      </w:r>
      <w:r>
        <w:rPr>
          <w:rFonts w:ascii="Times New Roman" w:hAnsi="Times New Roman" w:cs="Times New Roman"/>
          <w:sz w:val="24"/>
          <w:szCs w:val="24"/>
        </w:rPr>
        <w:t>Wanah, 2023)</w:t>
      </w:r>
      <w:r>
        <w:rPr>
          <w:rFonts w:ascii="Times New Roman" w:hAnsi="Times New Roman" w:cs="Times New Roman"/>
          <w:sz w:val="24"/>
          <w:szCs w:val="24"/>
          <w:lang w:val="en-GB" w:eastAsia="en-GB"/>
        </w:rPr>
        <w:t>.</w:t>
      </w:r>
    </w:p>
    <w:p w14:paraId="79FEE80D">
      <w:pPr>
        <w:pStyle w:val="13"/>
        <w:tabs>
          <w:tab w:val="left" w:pos="90"/>
          <w:tab w:val="left" w:pos="360"/>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661025" cy="3423920"/>
            <wp:effectExtent l="0" t="0" r="3175" b="5080"/>
            <wp:docPr id="1" name="Picture 1" descr="IMG-20210516-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10516-WA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61329" cy="3424408"/>
                    </a:xfrm>
                    <a:prstGeom prst="rect">
                      <a:avLst/>
                    </a:prstGeom>
                    <a:noFill/>
                    <a:ln>
                      <a:noFill/>
                    </a:ln>
                  </pic:spPr>
                </pic:pic>
              </a:graphicData>
            </a:graphic>
          </wp:inline>
        </w:drawing>
      </w:r>
    </w:p>
    <w:p w14:paraId="7966D531">
      <w:pPr>
        <w:spacing w:after="0" w:line="240" w:lineRule="auto"/>
        <w:rPr>
          <w:rFonts w:ascii="Times New Roman" w:hAnsi="Times New Roman" w:cs="Times New Roman"/>
          <w:sz w:val="24"/>
          <w:szCs w:val="24"/>
          <w:lang w:val="en-GB" w:eastAsia="en-GB"/>
        </w:rPr>
      </w:pPr>
      <w:r>
        <w:rPr>
          <w:rFonts w:ascii="Times New Roman" w:hAnsi="Times New Roman" w:cs="Times New Roman"/>
          <w:sz w:val="24"/>
          <w:szCs w:val="24"/>
          <w:lang w:val="en-GB" w:eastAsia="en-GB"/>
        </w:rPr>
        <w:t xml:space="preserve">Figure 1: Study Area </w:t>
      </w:r>
    </w:p>
    <w:p w14:paraId="0AFBCB30">
      <w:pPr>
        <w:spacing w:after="0" w:line="240" w:lineRule="auto"/>
        <w:rPr>
          <w:rFonts w:ascii="Times New Roman" w:hAnsi="Times New Roman" w:cs="Times New Roman"/>
          <w:sz w:val="24"/>
          <w:szCs w:val="24"/>
          <w:lang w:val="en-GB" w:eastAsia="en-GB"/>
        </w:rPr>
      </w:pPr>
      <w:r>
        <w:rPr>
          <w:rFonts w:ascii="Times New Roman" w:hAnsi="Times New Roman" w:cs="Times New Roman"/>
          <w:sz w:val="24"/>
          <w:szCs w:val="24"/>
          <w:lang w:val="en-GB" w:eastAsia="en-GB"/>
        </w:rPr>
        <w:t>Source; GIS Lab GSU, (2025)</w:t>
      </w:r>
    </w:p>
    <w:p w14:paraId="710155E6">
      <w:pPr>
        <w:tabs>
          <w:tab w:val="left" w:pos="90"/>
          <w:tab w:val="left" w:pos="360"/>
        </w:tabs>
        <w:spacing w:line="240" w:lineRule="auto"/>
        <w:jc w:val="both"/>
        <w:rPr>
          <w:rFonts w:ascii="Times New Roman" w:hAnsi="Times New Roman" w:cs="Times New Roman"/>
          <w:b/>
          <w:sz w:val="24"/>
          <w:szCs w:val="24"/>
        </w:rPr>
      </w:pPr>
    </w:p>
    <w:p w14:paraId="2106DD3D">
      <w:pPr>
        <w:tabs>
          <w:tab w:val="left" w:pos="90"/>
          <w:tab w:val="left" w:pos="360"/>
        </w:tabs>
        <w:spacing w:line="240" w:lineRule="auto"/>
        <w:jc w:val="both"/>
        <w:rPr>
          <w:rFonts w:ascii="Times New Roman" w:hAnsi="Times New Roman" w:cs="Times New Roman"/>
          <w:b/>
          <w:sz w:val="24"/>
          <w:szCs w:val="24"/>
        </w:rPr>
      </w:pPr>
      <w:r>
        <w:rPr>
          <w:rFonts w:ascii="Times New Roman" w:hAnsi="Times New Roman" w:cs="Times New Roman"/>
          <w:b/>
          <w:sz w:val="24"/>
          <w:szCs w:val="24"/>
        </w:rPr>
        <w:t>2.2 Methods</w:t>
      </w:r>
    </w:p>
    <w:p w14:paraId="1A4FBA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carrying out this study, both primary and secondary data were used. The Primary data were sourced from field observations, measurements, and questionnaires in the field. Whereas the secondary data were obtained from documented materials relevant to the study such as Journals, Text books, Publications, Unpublished materials, Federal ministry of land and Survey of Nigeria, United States Geological Survey (USGS) among others. A total of 19 points was taken at intervals of 300m along the length of the river channel for the production of cross sections. Where the channel was straight, the interval between two adjacent profiles was adjusted to more than 300m. On the other hand, where the stream channel meanders and therefore short stretches was encountered, the distance between two adjacent cross profiles was adjusted to less than 300m. The data collected were analyzed using QGIS and IBM SPSS statistical software. The results obtained were presented in tables and Maps.</w:t>
      </w:r>
    </w:p>
    <w:p w14:paraId="36D6735E">
      <w:pPr>
        <w:autoSpaceDE w:val="0"/>
        <w:autoSpaceDN w:val="0"/>
        <w:adjustRightInd w:val="0"/>
        <w:spacing w:after="0" w:line="240" w:lineRule="auto"/>
        <w:jc w:val="both"/>
        <w:rPr>
          <w:rFonts w:ascii="Times New Roman" w:hAnsi="Times New Roman" w:cs="Times New Roman"/>
          <w:sz w:val="24"/>
          <w:szCs w:val="24"/>
        </w:rPr>
      </w:pPr>
    </w:p>
    <w:p w14:paraId="30CBDB5F">
      <w:pPr>
        <w:pStyle w:val="13"/>
        <w:numPr>
          <w:ilvl w:val="0"/>
          <w:numId w:val="0"/>
        </w:numPr>
        <w:autoSpaceDE w:val="0"/>
        <w:autoSpaceDN w:val="0"/>
        <w:adjustRightInd w:val="0"/>
        <w:spacing w:line="240" w:lineRule="auto"/>
        <w:ind w:left="90" w:leftChars="0"/>
        <w:jc w:val="both"/>
        <w:rPr>
          <w:rFonts w:ascii="Times New Roman" w:hAnsi="Times New Roman" w:cs="Times New Roman"/>
          <w:b/>
          <w:sz w:val="24"/>
          <w:szCs w:val="24"/>
        </w:rPr>
      </w:pPr>
      <w:r>
        <w:rPr>
          <w:rFonts w:hint="default" w:ascii="Times New Roman" w:hAnsi="Times New Roman" w:cs="Times New Roman"/>
          <w:b/>
          <w:sz w:val="24"/>
          <w:szCs w:val="24"/>
          <w:lang w:val="en-US"/>
        </w:rPr>
        <w:t xml:space="preserve">3.     </w:t>
      </w:r>
      <w:r>
        <w:rPr>
          <w:rFonts w:ascii="Times New Roman" w:hAnsi="Times New Roman" w:cs="Times New Roman"/>
          <w:b/>
          <w:sz w:val="24"/>
          <w:szCs w:val="24"/>
        </w:rPr>
        <w:t xml:space="preserve">RESULTS AND DISCUSSION </w:t>
      </w:r>
    </w:p>
    <w:p w14:paraId="24DC30D4">
      <w:pPr>
        <w:pStyle w:val="2"/>
        <w:spacing w:line="240" w:lineRule="auto"/>
        <w:rPr>
          <w:rFonts w:ascii="Times New Roman" w:hAnsi="Times New Roman" w:cs="Times New Roman"/>
          <w:szCs w:val="24"/>
        </w:rPr>
      </w:pPr>
      <w:bookmarkStart w:id="0" w:name="_Toc259675630"/>
      <w:r>
        <w:rPr>
          <w:rFonts w:ascii="Times New Roman" w:hAnsi="Times New Roman" w:cs="Times New Roman"/>
          <w:szCs w:val="24"/>
        </w:rPr>
        <w:t xml:space="preserve">3.1 Factors Contributing to Bank Erosion and Cross Profile Changes in </w:t>
      </w:r>
      <w:bookmarkEnd w:id="0"/>
      <w:r>
        <w:rPr>
          <w:rFonts w:ascii="Times New Roman" w:hAnsi="Times New Roman" w:cs="Times New Roman"/>
          <w:szCs w:val="24"/>
        </w:rPr>
        <w:t>the Study Area</w:t>
      </w:r>
    </w:p>
    <w:p w14:paraId="514C838D">
      <w:pPr>
        <w:pStyle w:val="2"/>
        <w:spacing w:line="240" w:lineRule="auto"/>
        <w:rPr>
          <w:rFonts w:ascii="Times New Roman" w:hAnsi="Times New Roman" w:cs="Times New Roman"/>
          <w:szCs w:val="24"/>
        </w:rPr>
      </w:pPr>
      <w:bookmarkStart w:id="1" w:name="_Toc259675631"/>
      <w:r>
        <w:rPr>
          <w:rFonts w:ascii="Times New Roman" w:hAnsi="Times New Roman" w:cs="Times New Roman"/>
          <w:szCs w:val="24"/>
        </w:rPr>
        <w:t xml:space="preserve"> 3.1.1 Geological Composition</w:t>
      </w:r>
      <w:bookmarkEnd w:id="1"/>
    </w:p>
    <w:p w14:paraId="3BF94CAE">
      <w:pPr>
        <w:pStyle w:val="12"/>
        <w:jc w:val="both"/>
      </w:pPr>
      <w:r>
        <w:t>The finding of this study revealed that the geological composition of the Riyadh Catchment predominantly consists of the unconsolidated Keri-Keri Formation, accounting for over (90%) of the geological makeup (Table 1), with the remaining (10%) percentage constituted by other formations such as Gombe Sandstone and Bima Shale. The prevalence of unconsolidated sedimentary rocks, particularly the Keri-Keri Formation, suggests a susceptibility to erosion due to their loose and easily transportable nature. Additionally, the presence of fault lines and the average fault density within the catchment were not specified, indicating a potential influence on bank erosion and cross-profile changes, although further investigation is required to ascertain their exact impact.</w:t>
      </w:r>
      <w:bookmarkStart w:id="2" w:name="_Toc259675632"/>
      <w:r>
        <w:t xml:space="preserve"> The findings of this study are consistent with earlier geomorphological and hydrological research. The dominance of unconsolidated sedimentary formations (Keri-Keri Formation) and their high susceptibility to erosion align with the observations of Ghosh (2019), who emphasized that loosely consolidated alluvial materials are highly vulnerable to bank line migration under increased discharge conditions. Similarly, the relationship between peak discharge and intensified erosion in the lower reach supports the hydraulic principles discussed by Waugh (1990), who noted that velocity and discharge significantly influence channel widening and deepening.</w:t>
      </w:r>
    </w:p>
    <w:p w14:paraId="06B8AC58">
      <w:pPr>
        <w:pStyle w:val="12"/>
        <w:jc w:val="both"/>
        <w:rPr>
          <w:b/>
        </w:rPr>
      </w:pPr>
      <w:r>
        <w:rPr>
          <w:b/>
        </w:rPr>
        <w:t>3.1.2 Hydrological Factors</w:t>
      </w:r>
      <w:bookmarkEnd w:id="2"/>
    </w:p>
    <w:p w14:paraId="55AF6730">
      <w:pPr>
        <w:pStyle w:val="12"/>
        <w:jc w:val="both"/>
      </w:pPr>
      <w:r>
        <w:t>The study shows that Riyadh Catchment experiences an average annual rainfall of 800 mm (Table 1), contributing to the river discharge dynamics. The mean annual flow rate of 5m³/s indicates a relatively stable flow regime, while the peak flow rate during the raining season reaching 15m³/s suggests periods of increased water velocity and sediment transport potential. These hydrological characteristics play a significant role in shaping river morphology and erosion patterns, especially during high-flow, which can exacerbate bank erosion and cross-profile changes. The progressive downstream increase in channel width and depth observed in the Riyadh Catchment corresponds with classical fluvial geomorphology models described by Mejia and Reed (2011), who explained that channel cross-sections evolve longitudinally in response to energy distribution and sediment load. Furthermore, the morphological continuum observed in the study reflects the framework proposed by Alabyan &amp; Chalov (1998), who classified river channel patterns based on structural and planimetric features.</w:t>
      </w:r>
    </w:p>
    <w:p w14:paraId="1898A27E">
      <w:pPr>
        <w:pStyle w:val="2"/>
        <w:spacing w:line="240" w:lineRule="auto"/>
        <w:rPr>
          <w:rFonts w:ascii="Times New Roman" w:hAnsi="Times New Roman" w:cs="Times New Roman"/>
          <w:szCs w:val="24"/>
        </w:rPr>
      </w:pPr>
      <w:bookmarkStart w:id="3" w:name="_Toc259675633"/>
      <w:r>
        <w:rPr>
          <w:rFonts w:ascii="Times New Roman" w:hAnsi="Times New Roman" w:cs="Times New Roman"/>
          <w:szCs w:val="24"/>
        </w:rPr>
        <w:t>3.1.3 Land Use</w:t>
      </w:r>
      <w:bookmarkEnd w:id="3"/>
    </w:p>
    <w:p w14:paraId="067468DA">
      <w:pPr>
        <w:pStyle w:val="12"/>
        <w:jc w:val="both"/>
      </w:pPr>
      <w:r>
        <w:t>Regarding land use, the analysis revealed that the catchment exhibits a diverse distribution of land cover classes (Fig. 2). Barren land covers approximately (27%) of the area, likely offering little protection against erosion processes. The urbanized area, comprising (57%) of the catchment, poses a considerable risk as urbanization often leads to increased surface runoff and alteration of natural drainage patterns, consequently influencing erosion dynamics. Vegetation and farmland cover smaller proportions of the catchment (5% and 9% respectively), potentially providing some stabilization against erosion, although the intensity of agricultural activities and deforestation may counteract this effect. Water bodies, constituting 2% of the catchment, may contribute to erosion through channel incision or sediment deposition, depending on their morphology and flow dynamics.</w:t>
      </w:r>
    </w:p>
    <w:p w14:paraId="11AFCA1D">
      <w:pPr>
        <w:pStyle w:val="12"/>
        <w:jc w:val="both"/>
      </w:pPr>
      <w:r>
        <w:drawing>
          <wp:inline distT="0" distB="0" distL="0" distR="0">
            <wp:extent cx="5731510" cy="4168140"/>
            <wp:effectExtent l="0" t="0" r="2540" b="3810"/>
            <wp:docPr id="87495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50308"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342AFE9B">
      <w:pPr>
        <w:pStyle w:val="12"/>
        <w:jc w:val="both"/>
      </w:pPr>
      <w:r>
        <w:rPr>
          <w:b/>
          <w:bCs/>
        </w:rPr>
        <w:t xml:space="preserve">Figure 2: </w:t>
      </w:r>
      <w:r>
        <w:t>Land Use Classes of the study Area</w:t>
      </w:r>
    </w:p>
    <w:p w14:paraId="226E375C">
      <w:pPr>
        <w:pStyle w:val="12"/>
        <w:jc w:val="both"/>
      </w:pPr>
      <w:r>
        <w:t>Source: USGS Earth Explorer, (2025)</w:t>
      </w:r>
    </w:p>
    <w:p w14:paraId="0E1D0A02">
      <w:pPr>
        <w:pStyle w:val="12"/>
        <w:jc w:val="both"/>
        <w:rPr>
          <w:b/>
          <w:bCs/>
        </w:rPr>
      </w:pPr>
      <w:r>
        <w:t xml:space="preserve">The influence of urban expansion (Fig. 2) (57% built-up area) and anthropogenic interference corroborates the findings of Tiwari (2000), who highlighted that land use change significantly accelerates erosion in developing regions. Likewise, the relationship between land use/land cover change and geomorphic instability agrees with the remote sensing-based findings of Chen et al. 2003. </w:t>
      </w:r>
    </w:p>
    <w:p w14:paraId="3F8E3F58">
      <w:pPr>
        <w:pStyle w:val="2"/>
        <w:spacing w:line="240" w:lineRule="auto"/>
        <w:rPr>
          <w:rFonts w:ascii="Times New Roman" w:hAnsi="Times New Roman" w:cs="Times New Roman"/>
          <w:szCs w:val="24"/>
        </w:rPr>
      </w:pPr>
      <w:bookmarkStart w:id="4" w:name="_Toc259675634"/>
      <w:r>
        <w:rPr>
          <w:rFonts w:ascii="Times New Roman" w:hAnsi="Times New Roman" w:cs="Times New Roman"/>
          <w:szCs w:val="24"/>
        </w:rPr>
        <w:t>3.1.4 Human Activities</w:t>
      </w:r>
      <w:bookmarkEnd w:id="4"/>
    </w:p>
    <w:p w14:paraId="24483D6A">
      <w:pPr>
        <w:pStyle w:val="12"/>
        <w:jc w:val="both"/>
      </w:pPr>
      <w:r>
        <w:t>The finding of this study revealed that Human activities within the catchment, including the presence of infrastructure, high levels of deforestation, moderate agricultural intensity, and annual urban expansion of 5% (Table 1), are significant contributors to bank erosion and cross-profile changes. Infrastructure development alters natural drainage patterns and increases impervious surfaces, leading to enhanced runoff and erosion. Deforestation reduces vegetation cover, diminishing soil stability and increasing erosion susceptibility. Agricultural activities often involve land clearing and soil disturbance, further exacerbating erosion processes. Urban expansion results in increased land surface modification, which can accelerate erosion rates through increased runoff and sediment transport.</w:t>
      </w:r>
    </w:p>
    <w:p w14:paraId="76F995A2">
      <w:pPr>
        <w:pStyle w:val="2"/>
        <w:spacing w:line="240" w:lineRule="auto"/>
        <w:rPr>
          <w:rFonts w:ascii="Times New Roman" w:hAnsi="Times New Roman" w:cs="Times New Roman"/>
          <w:szCs w:val="24"/>
        </w:rPr>
      </w:pPr>
      <w:bookmarkStart w:id="5" w:name="_Toc259675635"/>
      <w:r>
        <w:rPr>
          <w:rFonts w:ascii="Times New Roman" w:hAnsi="Times New Roman" w:cs="Times New Roman"/>
          <w:szCs w:val="24"/>
        </w:rPr>
        <w:t>3.1.5 Channel Morphology</w:t>
      </w:r>
      <w:bookmarkEnd w:id="5"/>
    </w:p>
    <w:p w14:paraId="46DC3203">
      <w:pPr>
        <w:pStyle w:val="12"/>
        <w:jc w:val="both"/>
      </w:pPr>
      <w:r>
        <w:t>The finding of this study (Fig. 2) shows that the channel morphology of the Riyadh Catchment exhibits varying slopes and widths along its course. The average longitudinal slope of 0.05 m/m indicates a relatively gentle gradient, while the steepest section slope of 0.1 m/m suggests areas of increased erosional potential. The range in channel width from a minimum of 10 meters to a maximum of 50 meters reflects spatial variability in flow dynamics and sediment transport capacity, influencing erosion rates and cross-profile changes along different stretches of the river.</w:t>
      </w:r>
    </w:p>
    <w:p w14:paraId="41A97A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3876675"/>
            <wp:effectExtent l="0" t="0" r="2540" b="9525"/>
            <wp:docPr id="1027" name="Picture 5" descr="dryver"/>
            <wp:cNvGraphicFramePr/>
            <a:graphic xmlns:a="http://schemas.openxmlformats.org/drawingml/2006/main">
              <a:graphicData uri="http://schemas.openxmlformats.org/drawingml/2006/picture">
                <pic:pic xmlns:pic="http://schemas.openxmlformats.org/drawingml/2006/picture">
                  <pic:nvPicPr>
                    <pic:cNvPr id="1027" name="Picture 5" descr="dryver"/>
                    <pic:cNvPicPr/>
                  </pic:nvPicPr>
                  <pic:blipFill>
                    <a:blip r:embed="rId12" cstate="print"/>
                    <a:srcRect b="4445"/>
                    <a:stretch>
                      <a:fillRect/>
                    </a:stretch>
                  </pic:blipFill>
                  <pic:spPr>
                    <a:xfrm>
                      <a:off x="0" y="0"/>
                      <a:ext cx="5731510" cy="3876675"/>
                    </a:xfrm>
                    <a:prstGeom prst="rect">
                      <a:avLst/>
                    </a:prstGeom>
                    <a:ln>
                      <a:noFill/>
                    </a:ln>
                  </pic:spPr>
                </pic:pic>
              </a:graphicData>
            </a:graphic>
          </wp:inline>
        </w:drawing>
      </w:r>
    </w:p>
    <w:p w14:paraId="0CA6A0A8">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Figure 3</w:t>
      </w:r>
      <w:r>
        <w:rPr>
          <w:rFonts w:ascii="Times New Roman" w:hAnsi="Times New Roman" w:cs="Times New Roman"/>
          <w:b/>
          <w:sz w:val="24"/>
          <w:szCs w:val="24"/>
        </w:rPr>
        <w:t xml:space="preserve">: </w:t>
      </w:r>
      <w:r>
        <w:rPr>
          <w:rFonts w:ascii="Times New Roman" w:hAnsi="Times New Roman" w:cs="Times New Roman"/>
          <w:sz w:val="24"/>
          <w:szCs w:val="24"/>
        </w:rPr>
        <w:t>Riyadh River Basin</w:t>
      </w:r>
    </w:p>
    <w:p w14:paraId="2FBC5AA5">
      <w:pPr>
        <w:spacing w:line="240" w:lineRule="auto"/>
        <w:jc w:val="both"/>
        <w:rPr>
          <w:rFonts w:ascii="Times New Roman" w:hAnsi="Times New Roman" w:cs="Times New Roman"/>
          <w:sz w:val="24"/>
          <w:szCs w:val="24"/>
        </w:rPr>
      </w:pPr>
      <w:r>
        <w:rPr>
          <w:rFonts w:ascii="Times New Roman" w:hAnsi="Times New Roman" w:cs="Times New Roman"/>
          <w:sz w:val="24"/>
          <w:szCs w:val="24"/>
        </w:rPr>
        <w:t>Source: USGS Earth Explorer, (2025).</w:t>
      </w:r>
    </w:p>
    <w:p w14:paraId="27296222">
      <w:pPr>
        <w:spacing w:line="240" w:lineRule="auto"/>
        <w:jc w:val="both"/>
        <w:rPr>
          <w:rFonts w:ascii="Times New Roman" w:hAnsi="Times New Roman" w:cs="Times New Roman"/>
          <w:sz w:val="24"/>
          <w:szCs w:val="24"/>
        </w:rPr>
      </w:pPr>
      <w:r>
        <w:rPr>
          <w:rFonts w:ascii="Times New Roman" w:hAnsi="Times New Roman" w:cs="Times New Roman"/>
          <w:sz w:val="24"/>
          <w:szCs w:val="24"/>
        </w:rPr>
        <w:t>At the national level, the spatial variability of erosion rates within the Riyadh Catchment is comparable to the work of Mbaya (2012), who documented increasing erosion intensity in Gombe urban environments due to rapid development and weak soil structure. The downstream intensification of erosion also supports the findings of Wanah (2017), who reported that morphometric characteristics and discharge variability significantly influence sediment transport and channel modification in Gombe drainage basins.</w:t>
      </w:r>
    </w:p>
    <w:p w14:paraId="5CB8DAEF">
      <w:pPr>
        <w:spacing w:line="240" w:lineRule="auto"/>
        <w:jc w:val="both"/>
        <w:rPr>
          <w:rFonts w:ascii="Times New Roman" w:hAnsi="Times New Roman" w:cs="Times New Roman"/>
          <w:sz w:val="24"/>
          <w:szCs w:val="24"/>
        </w:rPr>
      </w:pPr>
      <w:r>
        <w:rPr>
          <w:rFonts w:ascii="Times New Roman" w:hAnsi="Times New Roman" w:cs="Times New Roman"/>
          <w:sz w:val="24"/>
          <w:szCs w:val="24"/>
        </w:rPr>
        <w:t>Overall, this study reinforces the broader consensus in fluvial geomorphology that bank erosion variability is the result of combined geological susceptibility, hydrological forcing, channel morphology, and anthropogenic disturbance.</w:t>
      </w:r>
    </w:p>
    <w:p w14:paraId="123E49F0">
      <w:pPr>
        <w:pStyle w:val="12"/>
        <w:jc w:val="both"/>
        <w:rPr>
          <w:color w:val="auto"/>
        </w:rPr>
      </w:pPr>
    </w:p>
    <w:p w14:paraId="3F2B84DA">
      <w:pPr>
        <w:pStyle w:val="12"/>
        <w:jc w:val="both"/>
        <w:rPr>
          <w:b/>
          <w:bCs/>
          <w:color w:val="0D0D0D"/>
          <w:shd w:val="clear" w:color="auto" w:fill="FFFFFF"/>
        </w:rPr>
      </w:pPr>
    </w:p>
    <w:p w14:paraId="7B08B6EA">
      <w:pPr>
        <w:pStyle w:val="12"/>
        <w:jc w:val="both"/>
        <w:rPr>
          <w:b/>
          <w:bCs/>
          <w:color w:val="0D0D0D"/>
          <w:shd w:val="clear" w:color="auto" w:fill="FFFFFF"/>
        </w:rPr>
      </w:pPr>
    </w:p>
    <w:p w14:paraId="1101B54B">
      <w:pPr>
        <w:pStyle w:val="12"/>
        <w:jc w:val="both"/>
        <w:rPr>
          <w:b/>
          <w:bCs/>
          <w:color w:val="0D0D0D"/>
          <w:shd w:val="clear" w:color="auto" w:fill="FFFFFF"/>
        </w:rPr>
      </w:pPr>
    </w:p>
    <w:p w14:paraId="05175DF3">
      <w:pPr>
        <w:pStyle w:val="12"/>
        <w:jc w:val="both"/>
        <w:rPr>
          <w:b/>
          <w:bCs/>
        </w:rPr>
      </w:pPr>
      <w:r>
        <w:rPr>
          <w:b/>
          <w:bCs/>
          <w:color w:val="0D0D0D"/>
          <w:shd w:val="clear" w:color="auto" w:fill="FFFFFF"/>
        </w:rPr>
        <w:t xml:space="preserve">Table: 1. </w:t>
      </w:r>
      <w:r>
        <w:rPr>
          <w:color w:val="0D0D0D"/>
          <w:shd w:val="clear" w:color="auto" w:fill="FFFFFF"/>
        </w:rPr>
        <w:t>Factors Contributing to Bank Erosion and Cross-Profile Changes in the Study Area.</w:t>
      </w:r>
    </w:p>
    <w:tbl>
      <w:tblPr>
        <w:tblStyle w:val="14"/>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0"/>
        <w:gridCol w:w="6186"/>
      </w:tblGrid>
      <w:tr w14:paraId="15CE1E2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Borders>
              <w:bottom w:val="single" w:color="000000" w:themeColor="text1" w:sz="4" w:space="0"/>
              <w:insideH w:val="single" w:sz="4" w:space="0"/>
            </w:tcBorders>
            <w:shd w:val="clear" w:color="auto" w:fill="auto"/>
          </w:tcPr>
          <w:p w14:paraId="2C647BBA">
            <w:pPr>
              <w:pStyle w:val="12"/>
              <w:jc w:val="both"/>
              <w:rPr>
                <w:b/>
                <w:bCs/>
              </w:rPr>
            </w:pPr>
            <w:r>
              <w:rPr>
                <w:b/>
                <w:bCs/>
              </w:rPr>
              <w:t>Factor</w:t>
            </w:r>
          </w:p>
        </w:tc>
        <w:tc>
          <w:tcPr>
            <w:tcW w:w="6186" w:type="dxa"/>
            <w:tcBorders>
              <w:bottom w:val="single" w:color="000000" w:themeColor="text1" w:sz="4" w:space="0"/>
              <w:insideH w:val="single" w:sz="4" w:space="0"/>
            </w:tcBorders>
            <w:shd w:val="clear" w:color="auto" w:fill="auto"/>
          </w:tcPr>
          <w:p w14:paraId="74A5FEAD">
            <w:pPr>
              <w:pStyle w:val="12"/>
              <w:jc w:val="both"/>
              <w:rPr>
                <w:b/>
                <w:bCs/>
              </w:rPr>
            </w:pPr>
            <w:r>
              <w:rPr>
                <w:b/>
                <w:bCs/>
              </w:rPr>
              <w:t>Description</w:t>
            </w:r>
          </w:p>
        </w:tc>
      </w:tr>
      <w:tr w14:paraId="0DDCB67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shd w:val="clear" w:color="auto" w:fill="auto"/>
          </w:tcPr>
          <w:p w14:paraId="6DD5FCD6">
            <w:pPr>
              <w:pStyle w:val="12"/>
              <w:rPr>
                <w:b/>
                <w:bCs/>
              </w:rPr>
            </w:pPr>
            <w:r>
              <w:rPr>
                <w:b/>
                <w:bCs/>
              </w:rPr>
              <w:t>Geological Factors</w:t>
            </w:r>
          </w:p>
          <w:p w14:paraId="039F3406">
            <w:pPr>
              <w:pStyle w:val="12"/>
              <w:rPr>
                <w:b/>
                <w:bCs/>
              </w:rPr>
            </w:pPr>
            <w:r>
              <w:rPr>
                <w:b w:val="0"/>
                <w:bCs w:val="0"/>
              </w:rPr>
              <w:t xml:space="preserve">   Geological Composition                                                                                         </w:t>
            </w:r>
          </w:p>
        </w:tc>
        <w:tc>
          <w:tcPr>
            <w:tcW w:w="6186" w:type="dxa"/>
            <w:shd w:val="clear" w:color="auto" w:fill="auto"/>
          </w:tcPr>
          <w:p w14:paraId="741417B8">
            <w:pPr>
              <w:pStyle w:val="12"/>
              <w:jc w:val="both"/>
            </w:pPr>
          </w:p>
          <w:p w14:paraId="526A87F8">
            <w:pPr>
              <w:pStyle w:val="12"/>
              <w:jc w:val="both"/>
            </w:pPr>
            <w:r>
              <w:t>Unconsolidated Keri-Keri Formation: &gt;90%</w:t>
            </w:r>
          </w:p>
          <w:p w14:paraId="36111A24">
            <w:pPr>
              <w:pStyle w:val="12"/>
              <w:jc w:val="both"/>
            </w:pPr>
            <w:r>
              <w:t>Other formations (Gombe Sandstone, Bima Shale, etc.): &lt;10%</w:t>
            </w:r>
          </w:p>
        </w:tc>
      </w:tr>
      <w:tr w14:paraId="7F609FD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shd w:val="clear" w:color="auto" w:fill="auto"/>
          </w:tcPr>
          <w:p w14:paraId="7EA6C8B4">
            <w:pPr>
              <w:pStyle w:val="12"/>
              <w:jc w:val="both"/>
              <w:rPr>
                <w:b/>
                <w:bCs/>
              </w:rPr>
            </w:pPr>
            <w:r>
              <w:rPr>
                <w:b/>
                <w:bCs/>
              </w:rPr>
              <w:t>Hydrological Factors</w:t>
            </w:r>
          </w:p>
          <w:p w14:paraId="3515091A">
            <w:pPr>
              <w:pStyle w:val="12"/>
              <w:jc w:val="both"/>
              <w:rPr>
                <w:b/>
                <w:bCs/>
              </w:rPr>
            </w:pPr>
            <w:r>
              <w:rPr>
                <w:b/>
                <w:bCs/>
              </w:rPr>
              <w:t xml:space="preserve">   </w:t>
            </w:r>
            <w:r>
              <w:rPr>
                <w:b w:val="0"/>
                <w:bCs w:val="0"/>
              </w:rPr>
              <w:t>Average Annual Rainfall</w:t>
            </w:r>
          </w:p>
          <w:p w14:paraId="335C5E26">
            <w:pPr>
              <w:pStyle w:val="12"/>
              <w:jc w:val="both"/>
              <w:rPr>
                <w:b/>
                <w:bCs/>
              </w:rPr>
            </w:pPr>
            <w:r>
              <w:rPr>
                <w:b w:val="0"/>
                <w:bCs w:val="0"/>
              </w:rPr>
              <w:t xml:space="preserve">   Discharge </w:t>
            </w:r>
            <w:r>
              <w:rPr>
                <w:b/>
                <w:bCs/>
              </w:rPr>
              <w:t xml:space="preserve">    </w:t>
            </w:r>
          </w:p>
        </w:tc>
        <w:tc>
          <w:tcPr>
            <w:tcW w:w="6186" w:type="dxa"/>
            <w:shd w:val="clear" w:color="auto" w:fill="auto"/>
          </w:tcPr>
          <w:p w14:paraId="40DE7B63">
            <w:pPr>
              <w:pStyle w:val="12"/>
            </w:pPr>
          </w:p>
          <w:p w14:paraId="04BC9F27">
            <w:pPr>
              <w:pStyle w:val="12"/>
            </w:pPr>
            <w:r>
              <w:t xml:space="preserve">800 mm                                                                                             River Mean annual flow rate:              5 m³/s </w:t>
            </w:r>
          </w:p>
          <w:p w14:paraId="6B8BB3C6">
            <w:pPr>
              <w:pStyle w:val="12"/>
            </w:pPr>
            <w:r>
              <w:t>Peak flow rate during monsoon:         15 m³/s</w:t>
            </w:r>
          </w:p>
        </w:tc>
      </w:tr>
      <w:tr w14:paraId="2C709E0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shd w:val="clear" w:color="auto" w:fill="auto"/>
          </w:tcPr>
          <w:p w14:paraId="51393532">
            <w:pPr>
              <w:pStyle w:val="12"/>
              <w:jc w:val="both"/>
              <w:rPr>
                <w:b/>
                <w:bCs/>
              </w:rPr>
            </w:pPr>
            <w:r>
              <w:rPr>
                <w:b/>
                <w:bCs/>
              </w:rPr>
              <w:t xml:space="preserve">Land Use Classes                                                                                                    </w:t>
            </w:r>
          </w:p>
        </w:tc>
        <w:tc>
          <w:tcPr>
            <w:tcW w:w="6186" w:type="dxa"/>
            <w:shd w:val="clear" w:color="auto" w:fill="auto"/>
          </w:tcPr>
          <w:p w14:paraId="1C68112B">
            <w:pPr>
              <w:pStyle w:val="12"/>
            </w:pPr>
          </w:p>
          <w:p w14:paraId="0B0F9FF0">
            <w:pPr>
              <w:pStyle w:val="12"/>
            </w:pPr>
            <w:r>
              <w:t xml:space="preserve">Barren land                                          27%                                                                                               Buildup (urbanized area)                     57%                                                                                                </w:t>
            </w:r>
          </w:p>
          <w:p w14:paraId="3F4D7880">
            <w:pPr>
              <w:pStyle w:val="12"/>
            </w:pPr>
            <w:r>
              <w:t xml:space="preserve">Vegetation                                            5%                                                                                              Farmland                                              9%                                                                                               Water bodies                                        2%  </w:t>
            </w:r>
          </w:p>
        </w:tc>
      </w:tr>
      <w:tr w14:paraId="241FA54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shd w:val="clear" w:color="auto" w:fill="auto"/>
          </w:tcPr>
          <w:p w14:paraId="60DB4E27">
            <w:pPr>
              <w:pStyle w:val="12"/>
              <w:jc w:val="both"/>
              <w:rPr>
                <w:b/>
                <w:bCs/>
              </w:rPr>
            </w:pPr>
            <w:r>
              <w:rPr>
                <w:b/>
                <w:bCs/>
              </w:rPr>
              <w:t xml:space="preserve">Human Activities                                                                                                  </w:t>
            </w:r>
          </w:p>
        </w:tc>
        <w:tc>
          <w:tcPr>
            <w:tcW w:w="6186" w:type="dxa"/>
            <w:shd w:val="clear" w:color="auto" w:fill="auto"/>
          </w:tcPr>
          <w:p w14:paraId="16ABDF13">
            <w:pPr>
              <w:pStyle w:val="12"/>
            </w:pPr>
          </w:p>
          <w:p w14:paraId="5095832E">
            <w:pPr>
              <w:pStyle w:val="12"/>
            </w:pPr>
            <w:r>
              <w:t xml:space="preserve">Presence of infrastructure                    Yes                                                                                                </w:t>
            </w:r>
          </w:p>
          <w:p w14:paraId="18F630B5">
            <w:pPr>
              <w:pStyle w:val="12"/>
            </w:pPr>
            <w:r>
              <w:t xml:space="preserve">Intensity of deforestation                     High                                                                                              Intensity of agricultural activities        Moderate                                                                                       Urban expansion rate                           5% annually   </w:t>
            </w:r>
          </w:p>
        </w:tc>
      </w:tr>
      <w:tr w14:paraId="2638B2B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shd w:val="clear" w:color="auto" w:fill="auto"/>
          </w:tcPr>
          <w:p w14:paraId="22DC2316">
            <w:pPr>
              <w:pStyle w:val="12"/>
              <w:jc w:val="both"/>
              <w:rPr>
                <w:b/>
                <w:bCs/>
              </w:rPr>
            </w:pPr>
            <w:r>
              <w:rPr>
                <w:b/>
                <w:bCs/>
              </w:rPr>
              <w:t>Channel Morphology</w:t>
            </w:r>
          </w:p>
          <w:p w14:paraId="6DC08A1E">
            <w:pPr>
              <w:pStyle w:val="12"/>
              <w:jc w:val="both"/>
              <w:rPr>
                <w:b/>
                <w:bCs/>
              </w:rPr>
            </w:pPr>
            <w:r>
              <w:rPr>
                <w:b w:val="0"/>
                <w:bCs w:val="0"/>
              </w:rPr>
              <w:t xml:space="preserve">   Channel Slope</w:t>
            </w:r>
          </w:p>
          <w:p w14:paraId="10733FD5">
            <w:pPr>
              <w:pStyle w:val="12"/>
              <w:jc w:val="both"/>
              <w:rPr>
                <w:b/>
                <w:bCs/>
              </w:rPr>
            </w:pPr>
          </w:p>
          <w:p w14:paraId="21F80D5F">
            <w:pPr>
              <w:pStyle w:val="12"/>
              <w:jc w:val="both"/>
              <w:rPr>
                <w:b/>
                <w:bCs/>
              </w:rPr>
            </w:pPr>
            <w:r>
              <w:rPr>
                <w:b w:val="0"/>
                <w:bCs w:val="0"/>
              </w:rPr>
              <w:t xml:space="preserve">   </w:t>
            </w:r>
          </w:p>
          <w:p w14:paraId="32813F35">
            <w:pPr>
              <w:pStyle w:val="12"/>
              <w:jc w:val="both"/>
              <w:rPr>
                <w:b/>
                <w:bCs/>
              </w:rPr>
            </w:pPr>
            <w:r>
              <w:rPr>
                <w:b w:val="0"/>
                <w:bCs w:val="0"/>
              </w:rPr>
              <w:t>Channel Width</w:t>
            </w:r>
          </w:p>
        </w:tc>
        <w:tc>
          <w:tcPr>
            <w:tcW w:w="6186" w:type="dxa"/>
            <w:shd w:val="clear" w:color="auto" w:fill="auto"/>
          </w:tcPr>
          <w:p w14:paraId="568F025A">
            <w:pPr>
              <w:pStyle w:val="12"/>
              <w:jc w:val="both"/>
            </w:pPr>
          </w:p>
          <w:p w14:paraId="795A61C5">
            <w:pPr>
              <w:pStyle w:val="12"/>
              <w:jc w:val="both"/>
            </w:pPr>
            <w:r>
              <w:t>Average longitudinal slope                  0.05 m/m</w:t>
            </w:r>
          </w:p>
          <w:p w14:paraId="546B7333">
            <w:pPr>
              <w:pStyle w:val="12"/>
              <w:jc w:val="both"/>
            </w:pPr>
            <w:r>
              <w:t>Steepest section slope                          0.1 m/m</w:t>
            </w:r>
          </w:p>
          <w:p w14:paraId="0FE9C97A">
            <w:pPr>
              <w:pStyle w:val="12"/>
              <w:jc w:val="both"/>
            </w:pPr>
            <w:r>
              <w:t>Flattest section slope                            0.02 m/m</w:t>
            </w:r>
          </w:p>
          <w:p w14:paraId="296E8603">
            <w:pPr>
              <w:pStyle w:val="12"/>
              <w:jc w:val="both"/>
            </w:pPr>
            <w:r>
              <w:t xml:space="preserve">                     </w:t>
            </w:r>
          </w:p>
          <w:p w14:paraId="616DF2F0">
            <w:pPr>
              <w:pStyle w:val="12"/>
              <w:jc w:val="both"/>
            </w:pPr>
            <w:r>
              <w:t>Mean channel width                             20 meters</w:t>
            </w:r>
          </w:p>
          <w:p w14:paraId="34226B9E">
            <w:pPr>
              <w:pStyle w:val="12"/>
              <w:jc w:val="both"/>
            </w:pPr>
            <w:r>
              <w:t>Maximum channel width                      50 meters</w:t>
            </w:r>
          </w:p>
          <w:p w14:paraId="1BE8048B">
            <w:pPr>
              <w:pStyle w:val="12"/>
              <w:jc w:val="both"/>
            </w:pPr>
            <w:r>
              <w:t>Minimum channel width                      10 meters</w:t>
            </w:r>
          </w:p>
        </w:tc>
      </w:tr>
    </w:tbl>
    <w:p w14:paraId="144E98BF">
      <w:pPr>
        <w:pStyle w:val="12"/>
        <w:jc w:val="both"/>
      </w:pPr>
      <w:bookmarkStart w:id="6" w:name="_Toc259675636"/>
      <w:r>
        <w:t>Source: Field Work, 2025</w:t>
      </w:r>
    </w:p>
    <w:p w14:paraId="6FE4413E">
      <w:pPr>
        <w:pStyle w:val="2"/>
        <w:spacing w:line="240" w:lineRule="auto"/>
        <w:rPr>
          <w:rFonts w:ascii="Times New Roman" w:hAnsi="Times New Roman" w:cs="Times New Roman"/>
          <w:szCs w:val="24"/>
        </w:rPr>
      </w:pPr>
      <w:r>
        <w:rPr>
          <w:rFonts w:ascii="Times New Roman" w:hAnsi="Times New Roman" w:cs="Times New Roman"/>
          <w:szCs w:val="24"/>
        </w:rPr>
        <w:t>3.2 The Extent of Bank Erosion along Different Stretches of the Riyadh Catchment</w:t>
      </w:r>
      <w:bookmarkEnd w:id="6"/>
    </w:p>
    <w:p w14:paraId="12AC4E95">
      <w:pPr>
        <w:pStyle w:val="12"/>
        <w:jc w:val="both"/>
      </w:pPr>
      <w:r>
        <w:t>The Study reveals distinct patterns of bank erosion rates across various river stretches (Table 2). In the upper reach, characterized by a length of 15km, the average bank erosion rate is recorded at 0.5 meters per year. Although this represents a relatively lower erosion rate compared to the other reaches, it is still indicative of ongoing erosion processes. The maximum erosion rate observed in this segment is 1.2 meters per year, suggesting localized areas of higher erosion intensity, potentially influenced by specific geomorphic features or anthropogenic activities. Conversely, the minimum erosion rate of 0.3 meters per year signifies areas with comparatively lower erosion susceptibility or effective erosion control measures.</w:t>
      </w:r>
    </w:p>
    <w:p w14:paraId="23469BFC">
      <w:pPr>
        <w:pStyle w:val="12"/>
        <w:jc w:val="both"/>
      </w:pPr>
      <w:r>
        <w:t>Moving to the middle reach of the catchment, spanning 20km in length, a higher average bank erosion rate of 0.8 meters per year is observed. This indicates increased erosion activity within this segment, possibly attributed to factors such as channel morphology, hydrological dynamics, or land use practices. The maximum erosion rate in the middle reach reaches 1.5 meters per year, signifying areas of heightened erosion vulnerability or localized erosional hotspots. Conversely, the minimum erosion rate of 0.4 meters per year suggests areas with relatively lower erosion intensity or more stable bank conditions.</w:t>
      </w:r>
    </w:p>
    <w:p w14:paraId="2F00AE5B">
      <w:pPr>
        <w:pStyle w:val="12"/>
        <w:jc w:val="both"/>
      </w:pPr>
      <w:r>
        <w:t>In the lower reach, covering a distance of 25km, the study illustrates the highest average bank erosion rate among the three segments, recorded at 1.2 meters per year. This indicates a notable degree of erosion activity within this reach, potentially influenced by factors such as increased channel dynamics, sediment transport, or anthropogenic pressures. The maximum erosion rate observed in the lower reach is 2.0 meters per year, highlighting areas of pronounced erosion susceptibility or significant erosional processes. However, the minimum erosion rate of 0.6 meters per year suggests spatial variability in erosion intensity, with some areas exhibiting relatively lower erosion rates compared to others.</w:t>
      </w:r>
    </w:p>
    <w:p w14:paraId="696A30BD">
      <w:pPr>
        <w:pStyle w:val="12"/>
        <w:jc w:val="both"/>
      </w:pPr>
      <w:r>
        <w:rPr>
          <w:b/>
          <w:bCs/>
        </w:rPr>
        <w:t>Table 2</w:t>
      </w:r>
      <w:r>
        <w:t xml:space="preserve">: </w:t>
      </w:r>
      <w:r>
        <w:rPr>
          <w:b/>
          <w:bCs/>
        </w:rPr>
        <w:t>the Extent of Bank Erosion</w:t>
      </w:r>
    </w:p>
    <w:tbl>
      <w:tblPr>
        <w:tblStyle w:val="14"/>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5"/>
        <w:gridCol w:w="1559"/>
        <w:gridCol w:w="1843"/>
        <w:gridCol w:w="1984"/>
        <w:gridCol w:w="2075"/>
      </w:tblGrid>
      <w:tr w14:paraId="61CC331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Borders>
              <w:bottom w:val="single" w:color="000000" w:themeColor="text1" w:sz="4" w:space="0"/>
              <w:insideH w:val="single" w:sz="4" w:space="0"/>
            </w:tcBorders>
            <w:shd w:val="clear" w:color="auto" w:fill="auto"/>
          </w:tcPr>
          <w:p w14:paraId="1D12F419">
            <w:pPr>
              <w:pStyle w:val="12"/>
              <w:jc w:val="both"/>
              <w:rPr>
                <w:b/>
                <w:bCs/>
              </w:rPr>
            </w:pPr>
            <w:r>
              <w:rPr>
                <w:b/>
                <w:bCs/>
              </w:rPr>
              <w:t xml:space="preserve">River Stretch </w:t>
            </w:r>
          </w:p>
        </w:tc>
        <w:tc>
          <w:tcPr>
            <w:tcW w:w="1559" w:type="dxa"/>
            <w:tcBorders>
              <w:bottom w:val="single" w:color="000000" w:themeColor="text1" w:sz="4" w:space="0"/>
              <w:insideH w:val="single" w:sz="4" w:space="0"/>
            </w:tcBorders>
            <w:shd w:val="clear" w:color="auto" w:fill="auto"/>
          </w:tcPr>
          <w:p w14:paraId="74D1768D">
            <w:pPr>
              <w:pStyle w:val="12"/>
              <w:jc w:val="both"/>
              <w:rPr>
                <w:b/>
                <w:bCs/>
              </w:rPr>
            </w:pPr>
            <w:r>
              <w:rPr>
                <w:b/>
                <w:bCs/>
              </w:rPr>
              <w:t>Length (Km)</w:t>
            </w:r>
          </w:p>
        </w:tc>
        <w:tc>
          <w:tcPr>
            <w:tcW w:w="1843" w:type="dxa"/>
            <w:tcBorders>
              <w:bottom w:val="single" w:color="000000" w:themeColor="text1" w:sz="4" w:space="0"/>
              <w:insideH w:val="single" w:sz="4" w:space="0"/>
            </w:tcBorders>
            <w:shd w:val="clear" w:color="auto" w:fill="auto"/>
          </w:tcPr>
          <w:p w14:paraId="294DF5AA">
            <w:pPr>
              <w:pStyle w:val="12"/>
              <w:jc w:val="both"/>
              <w:rPr>
                <w:b/>
                <w:bCs/>
              </w:rPr>
            </w:pPr>
            <w:r>
              <w:rPr>
                <w:b/>
                <w:bCs/>
              </w:rPr>
              <w:t>Average Bank Erosion (m/year)</w:t>
            </w:r>
          </w:p>
        </w:tc>
        <w:tc>
          <w:tcPr>
            <w:tcW w:w="1984" w:type="dxa"/>
            <w:tcBorders>
              <w:bottom w:val="single" w:color="000000" w:themeColor="text1" w:sz="4" w:space="0"/>
              <w:insideH w:val="single" w:sz="4" w:space="0"/>
            </w:tcBorders>
            <w:shd w:val="clear" w:color="auto" w:fill="auto"/>
          </w:tcPr>
          <w:p w14:paraId="4CE4A1A3">
            <w:pPr>
              <w:pStyle w:val="12"/>
              <w:jc w:val="both"/>
              <w:rPr>
                <w:b/>
                <w:bCs/>
              </w:rPr>
            </w:pPr>
            <w:r>
              <w:rPr>
                <w:b/>
                <w:bCs/>
              </w:rPr>
              <w:t>Maximum Bank Erosion (m/year)</w:t>
            </w:r>
          </w:p>
        </w:tc>
        <w:tc>
          <w:tcPr>
            <w:tcW w:w="2075" w:type="dxa"/>
            <w:tcBorders>
              <w:bottom w:val="single" w:color="000000" w:themeColor="text1" w:sz="4" w:space="0"/>
              <w:insideH w:val="single" w:sz="4" w:space="0"/>
            </w:tcBorders>
            <w:shd w:val="clear" w:color="auto" w:fill="auto"/>
          </w:tcPr>
          <w:p w14:paraId="7FC514DD">
            <w:pPr>
              <w:pStyle w:val="12"/>
              <w:jc w:val="both"/>
              <w:rPr>
                <w:b/>
                <w:bCs/>
              </w:rPr>
            </w:pPr>
            <w:r>
              <w:rPr>
                <w:b/>
                <w:bCs/>
              </w:rPr>
              <w:t>Minimum Bank Erosion (m/year)</w:t>
            </w:r>
          </w:p>
        </w:tc>
      </w:tr>
      <w:tr w14:paraId="33138CF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shd w:val="clear" w:color="auto" w:fill="auto"/>
          </w:tcPr>
          <w:p w14:paraId="41CE370B">
            <w:pPr>
              <w:pStyle w:val="12"/>
              <w:jc w:val="both"/>
              <w:rPr>
                <w:b w:val="0"/>
                <w:bCs w:val="0"/>
              </w:rPr>
            </w:pPr>
            <w:r>
              <w:rPr>
                <w:b w:val="0"/>
                <w:bCs w:val="0"/>
              </w:rPr>
              <w:t>Upper Reach</w:t>
            </w:r>
          </w:p>
        </w:tc>
        <w:tc>
          <w:tcPr>
            <w:tcW w:w="1559" w:type="dxa"/>
            <w:shd w:val="clear" w:color="auto" w:fill="auto"/>
          </w:tcPr>
          <w:p w14:paraId="3CEA8186">
            <w:pPr>
              <w:pStyle w:val="12"/>
              <w:jc w:val="both"/>
            </w:pPr>
            <w:r>
              <w:t>15</w:t>
            </w:r>
          </w:p>
        </w:tc>
        <w:tc>
          <w:tcPr>
            <w:tcW w:w="1843" w:type="dxa"/>
            <w:shd w:val="clear" w:color="auto" w:fill="auto"/>
          </w:tcPr>
          <w:p w14:paraId="401289A2">
            <w:pPr>
              <w:pStyle w:val="12"/>
              <w:tabs>
                <w:tab w:val="left" w:pos="706"/>
              </w:tabs>
              <w:jc w:val="both"/>
            </w:pPr>
            <w:r>
              <w:t>0.5</w:t>
            </w:r>
            <w:r>
              <w:tab/>
            </w:r>
          </w:p>
        </w:tc>
        <w:tc>
          <w:tcPr>
            <w:tcW w:w="1984" w:type="dxa"/>
            <w:shd w:val="clear" w:color="auto" w:fill="auto"/>
          </w:tcPr>
          <w:p w14:paraId="7EE9FD5D">
            <w:pPr>
              <w:pStyle w:val="12"/>
              <w:jc w:val="both"/>
            </w:pPr>
            <w:r>
              <w:t>1.2</w:t>
            </w:r>
          </w:p>
        </w:tc>
        <w:tc>
          <w:tcPr>
            <w:tcW w:w="2075" w:type="dxa"/>
            <w:shd w:val="clear" w:color="auto" w:fill="auto"/>
          </w:tcPr>
          <w:p w14:paraId="2F4C314C">
            <w:pPr>
              <w:pStyle w:val="12"/>
              <w:jc w:val="both"/>
            </w:pPr>
            <w:r>
              <w:t>0.3</w:t>
            </w:r>
          </w:p>
        </w:tc>
      </w:tr>
      <w:tr w14:paraId="67451CFE">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shd w:val="clear" w:color="auto" w:fill="auto"/>
          </w:tcPr>
          <w:p w14:paraId="09BD036E">
            <w:pPr>
              <w:pStyle w:val="12"/>
              <w:jc w:val="both"/>
              <w:rPr>
                <w:b w:val="0"/>
                <w:bCs w:val="0"/>
              </w:rPr>
            </w:pPr>
            <w:r>
              <w:rPr>
                <w:b w:val="0"/>
                <w:bCs w:val="0"/>
              </w:rPr>
              <w:t>MiddleReach</w:t>
            </w:r>
          </w:p>
        </w:tc>
        <w:tc>
          <w:tcPr>
            <w:tcW w:w="1559" w:type="dxa"/>
            <w:shd w:val="clear" w:color="auto" w:fill="auto"/>
          </w:tcPr>
          <w:p w14:paraId="7F2FF200">
            <w:pPr>
              <w:pStyle w:val="12"/>
              <w:jc w:val="both"/>
            </w:pPr>
            <w:r>
              <w:t>20</w:t>
            </w:r>
          </w:p>
        </w:tc>
        <w:tc>
          <w:tcPr>
            <w:tcW w:w="1843" w:type="dxa"/>
            <w:shd w:val="clear" w:color="auto" w:fill="auto"/>
          </w:tcPr>
          <w:p w14:paraId="25BC6B37">
            <w:pPr>
              <w:pStyle w:val="12"/>
              <w:jc w:val="both"/>
            </w:pPr>
            <w:r>
              <w:t>0.8</w:t>
            </w:r>
          </w:p>
        </w:tc>
        <w:tc>
          <w:tcPr>
            <w:tcW w:w="1984" w:type="dxa"/>
            <w:shd w:val="clear" w:color="auto" w:fill="auto"/>
          </w:tcPr>
          <w:p w14:paraId="61009B13">
            <w:pPr>
              <w:pStyle w:val="12"/>
              <w:jc w:val="both"/>
            </w:pPr>
            <w:r>
              <w:t>1.5</w:t>
            </w:r>
          </w:p>
        </w:tc>
        <w:tc>
          <w:tcPr>
            <w:tcW w:w="2075" w:type="dxa"/>
            <w:shd w:val="clear" w:color="auto" w:fill="auto"/>
          </w:tcPr>
          <w:p w14:paraId="79FE8841">
            <w:pPr>
              <w:pStyle w:val="12"/>
              <w:jc w:val="both"/>
            </w:pPr>
            <w:r>
              <w:t>0.4</w:t>
            </w:r>
          </w:p>
        </w:tc>
      </w:tr>
      <w:tr w14:paraId="7FB376B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shd w:val="clear" w:color="auto" w:fill="auto"/>
          </w:tcPr>
          <w:p w14:paraId="0F795A0F">
            <w:pPr>
              <w:pStyle w:val="12"/>
              <w:jc w:val="both"/>
              <w:rPr>
                <w:b w:val="0"/>
                <w:bCs w:val="0"/>
              </w:rPr>
            </w:pPr>
            <w:r>
              <w:rPr>
                <w:b w:val="0"/>
                <w:bCs w:val="0"/>
              </w:rPr>
              <w:t>Lower Reach</w:t>
            </w:r>
          </w:p>
        </w:tc>
        <w:tc>
          <w:tcPr>
            <w:tcW w:w="1559" w:type="dxa"/>
            <w:shd w:val="clear" w:color="auto" w:fill="auto"/>
          </w:tcPr>
          <w:p w14:paraId="3B6C9202">
            <w:pPr>
              <w:pStyle w:val="12"/>
              <w:jc w:val="both"/>
            </w:pPr>
            <w:r>
              <w:t>25</w:t>
            </w:r>
          </w:p>
        </w:tc>
        <w:tc>
          <w:tcPr>
            <w:tcW w:w="1843" w:type="dxa"/>
            <w:shd w:val="clear" w:color="auto" w:fill="auto"/>
          </w:tcPr>
          <w:p w14:paraId="26F08207">
            <w:pPr>
              <w:pStyle w:val="12"/>
              <w:jc w:val="both"/>
            </w:pPr>
            <w:r>
              <w:t>1.2</w:t>
            </w:r>
          </w:p>
        </w:tc>
        <w:tc>
          <w:tcPr>
            <w:tcW w:w="1984" w:type="dxa"/>
            <w:shd w:val="clear" w:color="auto" w:fill="auto"/>
          </w:tcPr>
          <w:p w14:paraId="052A54AF">
            <w:pPr>
              <w:pStyle w:val="12"/>
              <w:jc w:val="both"/>
            </w:pPr>
            <w:r>
              <w:t>2.0</w:t>
            </w:r>
          </w:p>
        </w:tc>
        <w:tc>
          <w:tcPr>
            <w:tcW w:w="2075" w:type="dxa"/>
            <w:shd w:val="clear" w:color="auto" w:fill="auto"/>
          </w:tcPr>
          <w:p w14:paraId="7D883CF5">
            <w:pPr>
              <w:pStyle w:val="12"/>
              <w:jc w:val="both"/>
            </w:pPr>
            <w:r>
              <w:t>0.6</w:t>
            </w:r>
          </w:p>
        </w:tc>
      </w:tr>
    </w:tbl>
    <w:p w14:paraId="7C008F1B">
      <w:pPr>
        <w:pStyle w:val="12"/>
        <w:jc w:val="both"/>
      </w:pPr>
      <w:bookmarkStart w:id="7" w:name="_Toc259675637"/>
      <w:r>
        <w:t>Source: Field Work, 2025</w:t>
      </w:r>
    </w:p>
    <w:p w14:paraId="2CBB3693">
      <w:pPr>
        <w:pStyle w:val="2"/>
        <w:spacing w:line="240" w:lineRule="auto"/>
        <w:rPr>
          <w:rFonts w:ascii="Times New Roman" w:hAnsi="Times New Roman" w:cs="Times New Roman"/>
          <w:szCs w:val="24"/>
        </w:rPr>
      </w:pPr>
      <w:r>
        <w:rPr>
          <w:rFonts w:ascii="Times New Roman" w:hAnsi="Times New Roman" w:cs="Times New Roman"/>
          <w:szCs w:val="24"/>
        </w:rPr>
        <w:t>3.4 The cross-profile variability of the river channel within the Riyadh Catchment</w:t>
      </w:r>
      <w:bookmarkEnd w:id="7"/>
    </w:p>
    <w:p w14:paraId="56E80CC3">
      <w:pPr>
        <w:pStyle w:val="2"/>
        <w:spacing w:line="240" w:lineRule="auto"/>
        <w:rPr>
          <w:rFonts w:ascii="Times New Roman" w:hAnsi="Times New Roman" w:cs="Times New Roman"/>
          <w:szCs w:val="24"/>
        </w:rPr>
      </w:pPr>
      <w:bookmarkStart w:id="8" w:name="_Toc259675638"/>
      <w:r>
        <w:rPr>
          <w:rFonts w:ascii="Times New Roman" w:hAnsi="Times New Roman" w:cs="Times New Roman"/>
          <w:szCs w:val="24"/>
        </w:rPr>
        <w:t>3.4.1 Lower Reach of the Catchment</w:t>
      </w:r>
      <w:bookmarkEnd w:id="8"/>
    </w:p>
    <w:p w14:paraId="0E6C0F8A">
      <w:pPr>
        <w:pStyle w:val="12"/>
        <w:jc w:val="both"/>
      </w:pPr>
      <w:r>
        <w:t>The study shows that in the lower reach of the catchment (Table 3), it is characterized by relatively lower elevations, the cross-sections exhibit wider channel widths and deeper depths compared to the middle and upper reaches. For instance, at CS-1 in the lower reach, the channel width is 25 meters with a depth of 2 meters, while at CS-4, the channel width increases to 40 meters with a depth of 3.5 meters. These observations suggest a wider and deeper river channel in the lower reaches, likely influenced by increased discharge and sediment transport capacity downstream.</w:t>
      </w:r>
    </w:p>
    <w:p w14:paraId="0530113A">
      <w:pPr>
        <w:pStyle w:val="12"/>
        <w:jc w:val="both"/>
        <w:rPr>
          <w:b/>
          <w:bCs/>
        </w:rPr>
      </w:pPr>
      <w:r>
        <w:rPr>
          <w:b/>
          <w:bCs/>
        </w:rPr>
        <w:t>Table 3: Lower Reach of the Catchment</w:t>
      </w:r>
    </w:p>
    <w:tbl>
      <w:tblPr>
        <w:tblStyle w:val="14"/>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7"/>
        <w:gridCol w:w="1127"/>
        <w:gridCol w:w="1127"/>
        <w:gridCol w:w="1127"/>
        <w:gridCol w:w="1127"/>
        <w:gridCol w:w="1127"/>
        <w:gridCol w:w="1470"/>
        <w:gridCol w:w="1190"/>
      </w:tblGrid>
      <w:tr w14:paraId="1788091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tcBorders>
              <w:bottom w:val="single" w:color="000000" w:themeColor="text1" w:sz="4" w:space="0"/>
              <w:insideH w:val="single" w:sz="4" w:space="0"/>
            </w:tcBorders>
            <w:shd w:val="clear" w:color="auto" w:fill="auto"/>
          </w:tcPr>
          <w:p w14:paraId="088BEEA1">
            <w:pPr>
              <w:pStyle w:val="12"/>
              <w:jc w:val="center"/>
              <w:rPr>
                <w:b/>
                <w:bCs/>
              </w:rPr>
            </w:pPr>
            <w:r>
              <w:rPr>
                <w:b/>
                <w:bCs/>
              </w:rPr>
              <w:t>Cross-section ID</w:t>
            </w:r>
          </w:p>
        </w:tc>
        <w:tc>
          <w:tcPr>
            <w:tcW w:w="1127" w:type="dxa"/>
            <w:tcBorders>
              <w:bottom w:val="single" w:color="000000" w:themeColor="text1" w:sz="4" w:space="0"/>
              <w:insideH w:val="single" w:sz="4" w:space="0"/>
            </w:tcBorders>
            <w:shd w:val="clear" w:color="auto" w:fill="auto"/>
          </w:tcPr>
          <w:p w14:paraId="40933E91">
            <w:pPr>
              <w:pStyle w:val="12"/>
              <w:jc w:val="center"/>
              <w:rPr>
                <w:b/>
                <w:bCs/>
              </w:rPr>
            </w:pPr>
            <w:r>
              <w:rPr>
                <w:b/>
                <w:bCs/>
              </w:rPr>
              <w:t>Channel Width (m)</w:t>
            </w:r>
          </w:p>
        </w:tc>
        <w:tc>
          <w:tcPr>
            <w:tcW w:w="1127" w:type="dxa"/>
            <w:tcBorders>
              <w:bottom w:val="single" w:color="000000" w:themeColor="text1" w:sz="4" w:space="0"/>
              <w:insideH w:val="single" w:sz="4" w:space="0"/>
            </w:tcBorders>
            <w:shd w:val="clear" w:color="auto" w:fill="auto"/>
          </w:tcPr>
          <w:p w14:paraId="12BC8E50">
            <w:pPr>
              <w:pStyle w:val="12"/>
              <w:jc w:val="center"/>
              <w:rPr>
                <w:b/>
                <w:bCs/>
              </w:rPr>
            </w:pPr>
            <w:r>
              <w:rPr>
                <w:b/>
                <w:bCs/>
              </w:rPr>
              <w:t>Channel Depth (m)</w:t>
            </w:r>
          </w:p>
        </w:tc>
        <w:tc>
          <w:tcPr>
            <w:tcW w:w="1127" w:type="dxa"/>
            <w:tcBorders>
              <w:bottom w:val="single" w:color="000000" w:themeColor="text1" w:sz="4" w:space="0"/>
              <w:insideH w:val="single" w:sz="4" w:space="0"/>
            </w:tcBorders>
            <w:shd w:val="clear" w:color="auto" w:fill="auto"/>
          </w:tcPr>
          <w:p w14:paraId="03D6063F">
            <w:pPr>
              <w:pStyle w:val="12"/>
              <w:jc w:val="center"/>
              <w:rPr>
                <w:b/>
                <w:bCs/>
              </w:rPr>
            </w:pPr>
            <w:r>
              <w:rPr>
                <w:b/>
                <w:bCs/>
              </w:rPr>
              <w:t>Bank full Width (m)</w:t>
            </w:r>
          </w:p>
        </w:tc>
        <w:tc>
          <w:tcPr>
            <w:tcW w:w="1127" w:type="dxa"/>
            <w:tcBorders>
              <w:bottom w:val="single" w:color="000000" w:themeColor="text1" w:sz="4" w:space="0"/>
              <w:insideH w:val="single" w:sz="4" w:space="0"/>
            </w:tcBorders>
            <w:shd w:val="clear" w:color="auto" w:fill="auto"/>
          </w:tcPr>
          <w:p w14:paraId="18796249">
            <w:pPr>
              <w:pStyle w:val="12"/>
              <w:jc w:val="center"/>
              <w:rPr>
                <w:b/>
                <w:bCs/>
              </w:rPr>
            </w:pPr>
            <w:r>
              <w:rPr>
                <w:b/>
                <w:bCs/>
              </w:rPr>
              <w:t>Bank full Depth (m)</w:t>
            </w:r>
          </w:p>
        </w:tc>
        <w:tc>
          <w:tcPr>
            <w:tcW w:w="1127" w:type="dxa"/>
            <w:tcBorders>
              <w:bottom w:val="single" w:color="000000" w:themeColor="text1" w:sz="4" w:space="0"/>
              <w:insideH w:val="single" w:sz="4" w:space="0"/>
            </w:tcBorders>
            <w:shd w:val="clear" w:color="auto" w:fill="auto"/>
          </w:tcPr>
          <w:p w14:paraId="3333F5CE">
            <w:pPr>
              <w:pStyle w:val="12"/>
              <w:jc w:val="center"/>
              <w:rPr>
                <w:b/>
                <w:bCs/>
              </w:rPr>
            </w:pPr>
            <w:r>
              <w:rPr>
                <w:b/>
                <w:bCs/>
              </w:rPr>
              <w:t>Slope (%)</w:t>
            </w:r>
          </w:p>
        </w:tc>
        <w:tc>
          <w:tcPr>
            <w:tcW w:w="1127" w:type="dxa"/>
            <w:tcBorders>
              <w:bottom w:val="single" w:color="000000" w:themeColor="text1" w:sz="4" w:space="0"/>
              <w:insideH w:val="single" w:sz="4" w:space="0"/>
            </w:tcBorders>
            <w:shd w:val="clear" w:color="auto" w:fill="auto"/>
          </w:tcPr>
          <w:p w14:paraId="47DEB843">
            <w:pPr>
              <w:pStyle w:val="12"/>
              <w:jc w:val="center"/>
              <w:rPr>
                <w:b/>
                <w:bCs/>
              </w:rPr>
            </w:pPr>
            <w:r>
              <w:rPr>
                <w:b/>
                <w:bCs/>
              </w:rPr>
              <w:t>Coordinates</w:t>
            </w:r>
          </w:p>
          <w:p w14:paraId="0AEC5BF1">
            <w:pPr>
              <w:pStyle w:val="12"/>
              <w:jc w:val="center"/>
              <w:rPr>
                <w:b/>
                <w:bCs/>
              </w:rPr>
            </w:pPr>
            <w:r>
              <w:rPr>
                <w:b/>
                <w:bCs/>
              </w:rPr>
              <w:t>(Lat, Long)</w:t>
            </w:r>
          </w:p>
        </w:tc>
        <w:tc>
          <w:tcPr>
            <w:tcW w:w="1127" w:type="dxa"/>
            <w:tcBorders>
              <w:bottom w:val="single" w:color="000000" w:themeColor="text1" w:sz="4" w:space="0"/>
              <w:insideH w:val="single" w:sz="4" w:space="0"/>
            </w:tcBorders>
            <w:shd w:val="clear" w:color="auto" w:fill="auto"/>
          </w:tcPr>
          <w:p w14:paraId="3142F2A3">
            <w:pPr>
              <w:pStyle w:val="12"/>
              <w:jc w:val="center"/>
              <w:rPr>
                <w:b/>
                <w:bCs/>
              </w:rPr>
            </w:pPr>
            <w:r>
              <w:rPr>
                <w:b/>
                <w:bCs/>
              </w:rPr>
              <w:t>Elevation (m)</w:t>
            </w:r>
          </w:p>
        </w:tc>
      </w:tr>
      <w:tr w14:paraId="750999A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1D0A0AC3">
            <w:pPr>
              <w:pStyle w:val="12"/>
              <w:jc w:val="center"/>
              <w:rPr>
                <w:b/>
                <w:bCs/>
              </w:rPr>
            </w:pPr>
            <w:r>
              <w:rPr>
                <w:b/>
                <w:bCs/>
              </w:rPr>
              <w:t>CS – 1</w:t>
            </w:r>
          </w:p>
        </w:tc>
        <w:tc>
          <w:tcPr>
            <w:tcW w:w="1127" w:type="dxa"/>
            <w:shd w:val="clear" w:color="auto" w:fill="auto"/>
          </w:tcPr>
          <w:p w14:paraId="4285E36A">
            <w:pPr>
              <w:pStyle w:val="12"/>
              <w:jc w:val="center"/>
            </w:pPr>
            <w:r>
              <w:t>25</w:t>
            </w:r>
          </w:p>
        </w:tc>
        <w:tc>
          <w:tcPr>
            <w:tcW w:w="1127" w:type="dxa"/>
            <w:shd w:val="clear" w:color="auto" w:fill="auto"/>
          </w:tcPr>
          <w:p w14:paraId="3BD47660">
            <w:pPr>
              <w:pStyle w:val="12"/>
              <w:jc w:val="center"/>
            </w:pPr>
            <w:r>
              <w:t>2</w:t>
            </w:r>
          </w:p>
        </w:tc>
        <w:tc>
          <w:tcPr>
            <w:tcW w:w="1127" w:type="dxa"/>
            <w:shd w:val="clear" w:color="auto" w:fill="auto"/>
          </w:tcPr>
          <w:p w14:paraId="5101AD5D">
            <w:pPr>
              <w:pStyle w:val="12"/>
              <w:jc w:val="center"/>
            </w:pPr>
            <w:r>
              <w:t>30</w:t>
            </w:r>
          </w:p>
        </w:tc>
        <w:tc>
          <w:tcPr>
            <w:tcW w:w="1127" w:type="dxa"/>
            <w:shd w:val="clear" w:color="auto" w:fill="auto"/>
          </w:tcPr>
          <w:p w14:paraId="2E7C51CB">
            <w:pPr>
              <w:pStyle w:val="12"/>
              <w:jc w:val="center"/>
            </w:pPr>
            <w:r>
              <w:t>3</w:t>
            </w:r>
          </w:p>
        </w:tc>
        <w:tc>
          <w:tcPr>
            <w:tcW w:w="1127" w:type="dxa"/>
            <w:shd w:val="clear" w:color="auto" w:fill="auto"/>
          </w:tcPr>
          <w:p w14:paraId="7054E367">
            <w:pPr>
              <w:pStyle w:val="12"/>
              <w:jc w:val="center"/>
            </w:pPr>
            <w:r>
              <w:t>0.03</w:t>
            </w:r>
          </w:p>
        </w:tc>
        <w:tc>
          <w:tcPr>
            <w:tcW w:w="1127" w:type="dxa"/>
            <w:shd w:val="clear" w:color="auto" w:fill="auto"/>
          </w:tcPr>
          <w:p w14:paraId="6F81DB9B">
            <w:pPr>
              <w:pStyle w:val="12"/>
              <w:jc w:val="center"/>
            </w:pPr>
            <w:r>
              <w:t>10°15'52''N, 11°10'41''E</w:t>
            </w:r>
          </w:p>
        </w:tc>
        <w:tc>
          <w:tcPr>
            <w:tcW w:w="1127" w:type="dxa"/>
            <w:shd w:val="clear" w:color="auto" w:fill="auto"/>
          </w:tcPr>
          <w:p w14:paraId="6B4743B8">
            <w:pPr>
              <w:pStyle w:val="12"/>
              <w:jc w:val="center"/>
            </w:pPr>
            <w:r>
              <w:t>427.07</w:t>
            </w:r>
          </w:p>
        </w:tc>
      </w:tr>
      <w:tr w14:paraId="0B5C89D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4EC57A19">
            <w:pPr>
              <w:pStyle w:val="12"/>
              <w:jc w:val="center"/>
              <w:rPr>
                <w:b/>
                <w:bCs/>
              </w:rPr>
            </w:pPr>
            <w:r>
              <w:rPr>
                <w:b/>
                <w:bCs/>
              </w:rPr>
              <w:t>CS – 2</w:t>
            </w:r>
          </w:p>
        </w:tc>
        <w:tc>
          <w:tcPr>
            <w:tcW w:w="1127" w:type="dxa"/>
            <w:shd w:val="clear" w:color="auto" w:fill="auto"/>
          </w:tcPr>
          <w:p w14:paraId="4D891528">
            <w:pPr>
              <w:pStyle w:val="12"/>
              <w:jc w:val="center"/>
            </w:pPr>
            <w:r>
              <w:t>30</w:t>
            </w:r>
          </w:p>
        </w:tc>
        <w:tc>
          <w:tcPr>
            <w:tcW w:w="1127" w:type="dxa"/>
            <w:shd w:val="clear" w:color="auto" w:fill="auto"/>
          </w:tcPr>
          <w:p w14:paraId="3B1295C2">
            <w:pPr>
              <w:pStyle w:val="12"/>
              <w:jc w:val="center"/>
            </w:pPr>
            <w:r>
              <w:t>2.5</w:t>
            </w:r>
          </w:p>
        </w:tc>
        <w:tc>
          <w:tcPr>
            <w:tcW w:w="1127" w:type="dxa"/>
            <w:shd w:val="clear" w:color="auto" w:fill="auto"/>
          </w:tcPr>
          <w:p w14:paraId="4433B4E8">
            <w:pPr>
              <w:pStyle w:val="12"/>
              <w:jc w:val="center"/>
            </w:pPr>
            <w:r>
              <w:t>35</w:t>
            </w:r>
          </w:p>
        </w:tc>
        <w:tc>
          <w:tcPr>
            <w:tcW w:w="1127" w:type="dxa"/>
            <w:shd w:val="clear" w:color="auto" w:fill="auto"/>
          </w:tcPr>
          <w:p w14:paraId="03840965">
            <w:pPr>
              <w:pStyle w:val="12"/>
              <w:jc w:val="center"/>
            </w:pPr>
            <w:r>
              <w:t>3.5</w:t>
            </w:r>
          </w:p>
        </w:tc>
        <w:tc>
          <w:tcPr>
            <w:tcW w:w="1127" w:type="dxa"/>
            <w:shd w:val="clear" w:color="auto" w:fill="auto"/>
          </w:tcPr>
          <w:p w14:paraId="6A26E22B">
            <w:pPr>
              <w:pStyle w:val="12"/>
              <w:jc w:val="center"/>
            </w:pPr>
            <w:r>
              <w:t>0.04</w:t>
            </w:r>
          </w:p>
        </w:tc>
        <w:tc>
          <w:tcPr>
            <w:tcW w:w="1127" w:type="dxa"/>
            <w:shd w:val="clear" w:color="auto" w:fill="auto"/>
          </w:tcPr>
          <w:p w14:paraId="54802954">
            <w:pPr>
              <w:pStyle w:val="12"/>
              <w:jc w:val="center"/>
            </w:pPr>
            <w:r>
              <w:t>10°15'47''N, 11°10'41''E</w:t>
            </w:r>
          </w:p>
        </w:tc>
        <w:tc>
          <w:tcPr>
            <w:tcW w:w="1127" w:type="dxa"/>
            <w:shd w:val="clear" w:color="auto" w:fill="auto"/>
          </w:tcPr>
          <w:p w14:paraId="49DFF0F5">
            <w:pPr>
              <w:pStyle w:val="12"/>
              <w:jc w:val="center"/>
            </w:pPr>
            <w:r>
              <w:t>428.66</w:t>
            </w:r>
          </w:p>
        </w:tc>
      </w:tr>
      <w:tr w14:paraId="0364F77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2E8A59C3">
            <w:pPr>
              <w:pStyle w:val="12"/>
              <w:jc w:val="center"/>
              <w:rPr>
                <w:b/>
                <w:bCs/>
              </w:rPr>
            </w:pPr>
            <w:r>
              <w:rPr>
                <w:b/>
                <w:bCs/>
              </w:rPr>
              <w:t>CS – 3</w:t>
            </w:r>
          </w:p>
        </w:tc>
        <w:tc>
          <w:tcPr>
            <w:tcW w:w="1127" w:type="dxa"/>
            <w:shd w:val="clear" w:color="auto" w:fill="auto"/>
          </w:tcPr>
          <w:p w14:paraId="16C289F8">
            <w:pPr>
              <w:pStyle w:val="12"/>
              <w:jc w:val="center"/>
            </w:pPr>
            <w:r>
              <w:t>35</w:t>
            </w:r>
          </w:p>
        </w:tc>
        <w:tc>
          <w:tcPr>
            <w:tcW w:w="1127" w:type="dxa"/>
            <w:shd w:val="clear" w:color="auto" w:fill="auto"/>
          </w:tcPr>
          <w:p w14:paraId="0BABF75C">
            <w:pPr>
              <w:pStyle w:val="12"/>
              <w:jc w:val="center"/>
            </w:pPr>
            <w:r>
              <w:t>3</w:t>
            </w:r>
          </w:p>
        </w:tc>
        <w:tc>
          <w:tcPr>
            <w:tcW w:w="1127" w:type="dxa"/>
            <w:shd w:val="clear" w:color="auto" w:fill="auto"/>
          </w:tcPr>
          <w:p w14:paraId="5D373CB9">
            <w:pPr>
              <w:pStyle w:val="12"/>
              <w:jc w:val="center"/>
            </w:pPr>
            <w:r>
              <w:t>40</w:t>
            </w:r>
          </w:p>
        </w:tc>
        <w:tc>
          <w:tcPr>
            <w:tcW w:w="1127" w:type="dxa"/>
            <w:shd w:val="clear" w:color="auto" w:fill="auto"/>
          </w:tcPr>
          <w:p w14:paraId="433E64E8">
            <w:pPr>
              <w:pStyle w:val="12"/>
              <w:jc w:val="center"/>
            </w:pPr>
            <w:r>
              <w:t>4</w:t>
            </w:r>
          </w:p>
        </w:tc>
        <w:tc>
          <w:tcPr>
            <w:tcW w:w="1127" w:type="dxa"/>
            <w:shd w:val="clear" w:color="auto" w:fill="auto"/>
          </w:tcPr>
          <w:p w14:paraId="60487701">
            <w:pPr>
              <w:pStyle w:val="12"/>
              <w:jc w:val="center"/>
            </w:pPr>
            <w:r>
              <w:t>0.05</w:t>
            </w:r>
          </w:p>
        </w:tc>
        <w:tc>
          <w:tcPr>
            <w:tcW w:w="1127" w:type="dxa"/>
            <w:shd w:val="clear" w:color="auto" w:fill="auto"/>
          </w:tcPr>
          <w:p w14:paraId="1FF21D25">
            <w:pPr>
              <w:pStyle w:val="12"/>
              <w:jc w:val="center"/>
            </w:pPr>
            <w:r>
              <w:t>10°15'43''N, 11°10'31''E</w:t>
            </w:r>
          </w:p>
        </w:tc>
        <w:tc>
          <w:tcPr>
            <w:tcW w:w="1127" w:type="dxa"/>
            <w:shd w:val="clear" w:color="auto" w:fill="auto"/>
          </w:tcPr>
          <w:p w14:paraId="5E0DA2A0">
            <w:pPr>
              <w:pStyle w:val="12"/>
              <w:jc w:val="center"/>
            </w:pPr>
            <w:r>
              <w:t>429.8</w:t>
            </w:r>
          </w:p>
        </w:tc>
      </w:tr>
      <w:tr w14:paraId="3642A060">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713DA536">
            <w:pPr>
              <w:pStyle w:val="12"/>
              <w:jc w:val="center"/>
              <w:rPr>
                <w:b/>
                <w:bCs/>
              </w:rPr>
            </w:pPr>
            <w:r>
              <w:rPr>
                <w:b/>
                <w:bCs/>
              </w:rPr>
              <w:t>CS – 4</w:t>
            </w:r>
          </w:p>
        </w:tc>
        <w:tc>
          <w:tcPr>
            <w:tcW w:w="1127" w:type="dxa"/>
            <w:shd w:val="clear" w:color="auto" w:fill="auto"/>
          </w:tcPr>
          <w:p w14:paraId="77F555F2">
            <w:pPr>
              <w:pStyle w:val="12"/>
              <w:jc w:val="center"/>
            </w:pPr>
            <w:r>
              <w:t>40</w:t>
            </w:r>
          </w:p>
        </w:tc>
        <w:tc>
          <w:tcPr>
            <w:tcW w:w="1127" w:type="dxa"/>
            <w:shd w:val="clear" w:color="auto" w:fill="auto"/>
          </w:tcPr>
          <w:p w14:paraId="36DCA32A">
            <w:pPr>
              <w:pStyle w:val="12"/>
              <w:jc w:val="center"/>
            </w:pPr>
            <w:r>
              <w:t>3.5</w:t>
            </w:r>
          </w:p>
        </w:tc>
        <w:tc>
          <w:tcPr>
            <w:tcW w:w="1127" w:type="dxa"/>
            <w:shd w:val="clear" w:color="auto" w:fill="auto"/>
          </w:tcPr>
          <w:p w14:paraId="3F8CE7D2">
            <w:pPr>
              <w:pStyle w:val="12"/>
              <w:jc w:val="center"/>
            </w:pPr>
            <w:r>
              <w:t>45</w:t>
            </w:r>
          </w:p>
        </w:tc>
        <w:tc>
          <w:tcPr>
            <w:tcW w:w="1127" w:type="dxa"/>
            <w:shd w:val="clear" w:color="auto" w:fill="auto"/>
          </w:tcPr>
          <w:p w14:paraId="60DF3CE8">
            <w:pPr>
              <w:pStyle w:val="12"/>
              <w:jc w:val="center"/>
            </w:pPr>
            <w:r>
              <w:t>4.5</w:t>
            </w:r>
          </w:p>
        </w:tc>
        <w:tc>
          <w:tcPr>
            <w:tcW w:w="1127" w:type="dxa"/>
            <w:shd w:val="clear" w:color="auto" w:fill="auto"/>
          </w:tcPr>
          <w:p w14:paraId="3DE07A4B">
            <w:pPr>
              <w:pStyle w:val="12"/>
              <w:jc w:val="center"/>
            </w:pPr>
            <w:r>
              <w:t>0.06</w:t>
            </w:r>
          </w:p>
        </w:tc>
        <w:tc>
          <w:tcPr>
            <w:tcW w:w="1127" w:type="dxa"/>
            <w:shd w:val="clear" w:color="auto" w:fill="auto"/>
          </w:tcPr>
          <w:p w14:paraId="21FA8855">
            <w:pPr>
              <w:pStyle w:val="12"/>
              <w:jc w:val="center"/>
            </w:pPr>
            <w:r>
              <w:t>10°15'41''N, 11°10'32''E</w:t>
            </w:r>
          </w:p>
        </w:tc>
        <w:tc>
          <w:tcPr>
            <w:tcW w:w="1127" w:type="dxa"/>
            <w:shd w:val="clear" w:color="auto" w:fill="auto"/>
          </w:tcPr>
          <w:p w14:paraId="2F742C51">
            <w:pPr>
              <w:pStyle w:val="12"/>
              <w:jc w:val="center"/>
            </w:pPr>
            <w:r>
              <w:t>431.62</w:t>
            </w:r>
          </w:p>
        </w:tc>
      </w:tr>
    </w:tbl>
    <w:p w14:paraId="2AEF3606">
      <w:pPr>
        <w:pStyle w:val="12"/>
        <w:jc w:val="both"/>
      </w:pPr>
      <w:r>
        <w:t>Source: Field Work, 2025</w:t>
      </w:r>
    </w:p>
    <w:p w14:paraId="79ED2A2F">
      <w:pPr>
        <w:pStyle w:val="2"/>
        <w:spacing w:line="240" w:lineRule="auto"/>
        <w:rPr>
          <w:rFonts w:ascii="Times New Roman" w:hAnsi="Times New Roman" w:cs="Times New Roman"/>
          <w:szCs w:val="24"/>
        </w:rPr>
      </w:pPr>
      <w:bookmarkStart w:id="9" w:name="_Toc259675639"/>
      <w:r>
        <w:rPr>
          <w:rFonts w:ascii="Times New Roman" w:hAnsi="Times New Roman" w:cs="Times New Roman"/>
          <w:szCs w:val="24"/>
        </w:rPr>
        <w:t>3.4.2 Middle Reach of the Catchment</w:t>
      </w:r>
      <w:bookmarkEnd w:id="9"/>
    </w:p>
    <w:p w14:paraId="2E064D01">
      <w:pPr>
        <w:spacing w:line="240" w:lineRule="auto"/>
        <w:jc w:val="both"/>
        <w:rPr>
          <w:rFonts w:ascii="Times New Roman" w:hAnsi="Times New Roman" w:cs="Times New Roman"/>
          <w:sz w:val="24"/>
          <w:szCs w:val="24"/>
        </w:rPr>
      </w:pPr>
      <w:r>
        <w:rPr>
          <w:rFonts w:ascii="Times New Roman" w:hAnsi="Times New Roman" w:cs="Times New Roman"/>
          <w:sz w:val="24"/>
          <w:szCs w:val="24"/>
        </w:rPr>
        <w:t>The result revealed that in the middle reach (Table 4), the cross-sectional data shows intermediate channel morphologies compared to the lower and upper reaches. Channel widths and depths are generally narrower and shallower than those in the lower reach but wider and deeper than those in the upper reach. For instance, at CS-5 in the middle reach, the channel width is 20 meters with a depth of 1.5 meters, indicating a narrower and shallower channel compared to the lower reach. However, the channel width and depth increase gradually downstream, as seen at CS-8, with a width of 35 meters and a depth of 3 meters, reflecting a transition towards the wider and deeper characteristics of the lower reach.</w:t>
      </w:r>
      <w:r>
        <w:t xml:space="preserve"> </w:t>
      </w:r>
      <w:r>
        <w:rPr>
          <w:rFonts w:ascii="Times New Roman" w:hAnsi="Times New Roman" w:cs="Times New Roman"/>
          <w:sz w:val="24"/>
          <w:szCs w:val="24"/>
        </w:rPr>
        <w:t>This finding</w:t>
      </w:r>
      <w:r>
        <w:t xml:space="preserve"> </w:t>
      </w:r>
      <w:r>
        <w:rPr>
          <w:rFonts w:ascii="Times New Roman" w:hAnsi="Times New Roman" w:cs="Times New Roman"/>
          <w:sz w:val="24"/>
          <w:szCs w:val="24"/>
        </w:rPr>
        <w:t>supports the findings of Wanah (2017), who reported that morphometric characteristics and discharge variability significantly influence sediment transport and channel modification in Gombe drainage basins.</w:t>
      </w:r>
    </w:p>
    <w:p w14:paraId="32249B2A">
      <w:pPr>
        <w:pStyle w:val="12"/>
        <w:jc w:val="both"/>
      </w:pPr>
    </w:p>
    <w:p w14:paraId="38206CF6">
      <w:pPr>
        <w:pStyle w:val="12"/>
        <w:jc w:val="both"/>
        <w:rPr>
          <w:b/>
          <w:bCs/>
        </w:rPr>
      </w:pPr>
      <w:r>
        <w:rPr>
          <w:b/>
          <w:bCs/>
        </w:rPr>
        <w:t>Table 4: Middle Reach of the Catchment</w:t>
      </w:r>
    </w:p>
    <w:tbl>
      <w:tblPr>
        <w:tblStyle w:val="14"/>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7"/>
        <w:gridCol w:w="1127"/>
        <w:gridCol w:w="1127"/>
        <w:gridCol w:w="1127"/>
        <w:gridCol w:w="1127"/>
        <w:gridCol w:w="1127"/>
        <w:gridCol w:w="1470"/>
        <w:gridCol w:w="1190"/>
      </w:tblGrid>
      <w:tr w14:paraId="339ADE6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tcBorders>
              <w:bottom w:val="single" w:color="000000" w:themeColor="text1" w:sz="4" w:space="0"/>
              <w:insideH w:val="single" w:sz="4" w:space="0"/>
            </w:tcBorders>
            <w:shd w:val="clear" w:color="auto" w:fill="auto"/>
          </w:tcPr>
          <w:p w14:paraId="6490EA84">
            <w:pPr>
              <w:pStyle w:val="12"/>
              <w:jc w:val="center"/>
              <w:rPr>
                <w:b/>
                <w:bCs/>
              </w:rPr>
            </w:pPr>
            <w:r>
              <w:rPr>
                <w:b/>
                <w:bCs/>
              </w:rPr>
              <w:t>Cross-section ID</w:t>
            </w:r>
          </w:p>
        </w:tc>
        <w:tc>
          <w:tcPr>
            <w:tcW w:w="1127" w:type="dxa"/>
            <w:tcBorders>
              <w:bottom w:val="single" w:color="000000" w:themeColor="text1" w:sz="4" w:space="0"/>
              <w:insideH w:val="single" w:sz="4" w:space="0"/>
            </w:tcBorders>
            <w:shd w:val="clear" w:color="auto" w:fill="auto"/>
          </w:tcPr>
          <w:p w14:paraId="2F0F0103">
            <w:pPr>
              <w:pStyle w:val="12"/>
              <w:jc w:val="center"/>
              <w:rPr>
                <w:b/>
                <w:bCs/>
              </w:rPr>
            </w:pPr>
            <w:r>
              <w:rPr>
                <w:b/>
                <w:bCs/>
              </w:rPr>
              <w:t>Channel Width (m)</w:t>
            </w:r>
          </w:p>
        </w:tc>
        <w:tc>
          <w:tcPr>
            <w:tcW w:w="1127" w:type="dxa"/>
            <w:tcBorders>
              <w:bottom w:val="single" w:color="000000" w:themeColor="text1" w:sz="4" w:space="0"/>
              <w:insideH w:val="single" w:sz="4" w:space="0"/>
            </w:tcBorders>
            <w:shd w:val="clear" w:color="auto" w:fill="auto"/>
          </w:tcPr>
          <w:p w14:paraId="037D858E">
            <w:pPr>
              <w:pStyle w:val="12"/>
              <w:jc w:val="center"/>
              <w:rPr>
                <w:b/>
                <w:bCs/>
              </w:rPr>
            </w:pPr>
            <w:r>
              <w:rPr>
                <w:b/>
                <w:bCs/>
              </w:rPr>
              <w:t>Channel Depth (m)</w:t>
            </w:r>
          </w:p>
        </w:tc>
        <w:tc>
          <w:tcPr>
            <w:tcW w:w="1127" w:type="dxa"/>
            <w:tcBorders>
              <w:bottom w:val="single" w:color="000000" w:themeColor="text1" w:sz="4" w:space="0"/>
              <w:insideH w:val="single" w:sz="4" w:space="0"/>
            </w:tcBorders>
            <w:shd w:val="clear" w:color="auto" w:fill="auto"/>
          </w:tcPr>
          <w:p w14:paraId="2F6DD7FB">
            <w:pPr>
              <w:pStyle w:val="12"/>
              <w:jc w:val="center"/>
              <w:rPr>
                <w:b/>
                <w:bCs/>
              </w:rPr>
            </w:pPr>
            <w:r>
              <w:rPr>
                <w:b/>
                <w:bCs/>
              </w:rPr>
              <w:t>Bank full Width (m)</w:t>
            </w:r>
          </w:p>
        </w:tc>
        <w:tc>
          <w:tcPr>
            <w:tcW w:w="1127" w:type="dxa"/>
            <w:tcBorders>
              <w:bottom w:val="single" w:color="000000" w:themeColor="text1" w:sz="4" w:space="0"/>
              <w:insideH w:val="single" w:sz="4" w:space="0"/>
            </w:tcBorders>
            <w:shd w:val="clear" w:color="auto" w:fill="auto"/>
          </w:tcPr>
          <w:p w14:paraId="0F8875F1">
            <w:pPr>
              <w:pStyle w:val="12"/>
              <w:jc w:val="center"/>
              <w:rPr>
                <w:b/>
                <w:bCs/>
              </w:rPr>
            </w:pPr>
            <w:r>
              <w:rPr>
                <w:b/>
                <w:bCs/>
              </w:rPr>
              <w:t>Bank full Depth (m)</w:t>
            </w:r>
          </w:p>
        </w:tc>
        <w:tc>
          <w:tcPr>
            <w:tcW w:w="1127" w:type="dxa"/>
            <w:tcBorders>
              <w:bottom w:val="single" w:color="000000" w:themeColor="text1" w:sz="4" w:space="0"/>
              <w:insideH w:val="single" w:sz="4" w:space="0"/>
            </w:tcBorders>
            <w:shd w:val="clear" w:color="auto" w:fill="auto"/>
          </w:tcPr>
          <w:p w14:paraId="1728333A">
            <w:pPr>
              <w:pStyle w:val="12"/>
              <w:jc w:val="center"/>
              <w:rPr>
                <w:b/>
                <w:bCs/>
              </w:rPr>
            </w:pPr>
            <w:r>
              <w:rPr>
                <w:b/>
                <w:bCs/>
              </w:rPr>
              <w:t>Slope (%)</w:t>
            </w:r>
          </w:p>
        </w:tc>
        <w:tc>
          <w:tcPr>
            <w:tcW w:w="1127" w:type="dxa"/>
            <w:tcBorders>
              <w:bottom w:val="single" w:color="000000" w:themeColor="text1" w:sz="4" w:space="0"/>
              <w:insideH w:val="single" w:sz="4" w:space="0"/>
            </w:tcBorders>
            <w:shd w:val="clear" w:color="auto" w:fill="auto"/>
          </w:tcPr>
          <w:p w14:paraId="20DFB800">
            <w:pPr>
              <w:pStyle w:val="12"/>
              <w:jc w:val="center"/>
              <w:rPr>
                <w:b/>
                <w:bCs/>
              </w:rPr>
            </w:pPr>
            <w:r>
              <w:rPr>
                <w:b/>
                <w:bCs/>
              </w:rPr>
              <w:t>Coordinates</w:t>
            </w:r>
          </w:p>
          <w:p w14:paraId="3C6A8E7A">
            <w:pPr>
              <w:pStyle w:val="12"/>
              <w:jc w:val="center"/>
              <w:rPr>
                <w:b/>
                <w:bCs/>
              </w:rPr>
            </w:pPr>
            <w:r>
              <w:rPr>
                <w:b/>
                <w:bCs/>
              </w:rPr>
              <w:t>(Lat, Long)</w:t>
            </w:r>
          </w:p>
        </w:tc>
        <w:tc>
          <w:tcPr>
            <w:tcW w:w="1127" w:type="dxa"/>
            <w:tcBorders>
              <w:bottom w:val="single" w:color="000000" w:themeColor="text1" w:sz="4" w:space="0"/>
              <w:insideH w:val="single" w:sz="4" w:space="0"/>
            </w:tcBorders>
            <w:shd w:val="clear" w:color="auto" w:fill="auto"/>
          </w:tcPr>
          <w:p w14:paraId="5E1A0213">
            <w:pPr>
              <w:pStyle w:val="12"/>
              <w:jc w:val="center"/>
              <w:rPr>
                <w:b/>
                <w:bCs/>
              </w:rPr>
            </w:pPr>
            <w:r>
              <w:rPr>
                <w:b/>
                <w:bCs/>
              </w:rPr>
              <w:t>Elevation (m)</w:t>
            </w:r>
          </w:p>
        </w:tc>
      </w:tr>
      <w:tr w14:paraId="551DFA2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64B985CA">
            <w:pPr>
              <w:pStyle w:val="12"/>
              <w:jc w:val="center"/>
              <w:rPr>
                <w:b/>
                <w:bCs/>
              </w:rPr>
            </w:pPr>
            <w:r>
              <w:rPr>
                <w:b/>
                <w:bCs/>
              </w:rPr>
              <w:t>CS – 5</w:t>
            </w:r>
          </w:p>
        </w:tc>
        <w:tc>
          <w:tcPr>
            <w:tcW w:w="1127" w:type="dxa"/>
            <w:shd w:val="clear" w:color="auto" w:fill="auto"/>
          </w:tcPr>
          <w:p w14:paraId="298279E9">
            <w:pPr>
              <w:pStyle w:val="12"/>
              <w:jc w:val="center"/>
            </w:pPr>
            <w:r>
              <w:t>20</w:t>
            </w:r>
          </w:p>
        </w:tc>
        <w:tc>
          <w:tcPr>
            <w:tcW w:w="1127" w:type="dxa"/>
            <w:shd w:val="clear" w:color="auto" w:fill="auto"/>
          </w:tcPr>
          <w:p w14:paraId="3F4A9DE7">
            <w:pPr>
              <w:pStyle w:val="12"/>
              <w:jc w:val="center"/>
            </w:pPr>
            <w:r>
              <w:t>1.5</w:t>
            </w:r>
          </w:p>
        </w:tc>
        <w:tc>
          <w:tcPr>
            <w:tcW w:w="1127" w:type="dxa"/>
            <w:shd w:val="clear" w:color="auto" w:fill="auto"/>
          </w:tcPr>
          <w:p w14:paraId="5FAF4BF9">
            <w:pPr>
              <w:pStyle w:val="12"/>
              <w:jc w:val="center"/>
            </w:pPr>
            <w:r>
              <w:t>25</w:t>
            </w:r>
          </w:p>
        </w:tc>
        <w:tc>
          <w:tcPr>
            <w:tcW w:w="1127" w:type="dxa"/>
            <w:shd w:val="clear" w:color="auto" w:fill="auto"/>
          </w:tcPr>
          <w:p w14:paraId="46AB7127">
            <w:pPr>
              <w:pStyle w:val="12"/>
              <w:jc w:val="center"/>
            </w:pPr>
            <w:r>
              <w:t>2</w:t>
            </w:r>
          </w:p>
        </w:tc>
        <w:tc>
          <w:tcPr>
            <w:tcW w:w="1127" w:type="dxa"/>
            <w:shd w:val="clear" w:color="auto" w:fill="auto"/>
          </w:tcPr>
          <w:p w14:paraId="4955F6EE">
            <w:pPr>
              <w:pStyle w:val="12"/>
              <w:jc w:val="center"/>
            </w:pPr>
            <w:r>
              <w:t>0.02</w:t>
            </w:r>
          </w:p>
        </w:tc>
        <w:tc>
          <w:tcPr>
            <w:tcW w:w="1127" w:type="dxa"/>
            <w:shd w:val="clear" w:color="auto" w:fill="auto"/>
          </w:tcPr>
          <w:p w14:paraId="1935423D">
            <w:pPr>
              <w:pStyle w:val="12"/>
              <w:jc w:val="center"/>
            </w:pPr>
            <w:r>
              <w:t>10°15'39''N, 11°10'27''E</w:t>
            </w:r>
          </w:p>
        </w:tc>
        <w:tc>
          <w:tcPr>
            <w:tcW w:w="1127" w:type="dxa"/>
            <w:shd w:val="clear" w:color="auto" w:fill="auto"/>
          </w:tcPr>
          <w:p w14:paraId="3EF01FA7">
            <w:pPr>
              <w:pStyle w:val="12"/>
              <w:jc w:val="center"/>
            </w:pPr>
            <w:r>
              <w:t>432.79</w:t>
            </w:r>
          </w:p>
        </w:tc>
      </w:tr>
      <w:tr w14:paraId="248222A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1F184175">
            <w:pPr>
              <w:pStyle w:val="12"/>
              <w:jc w:val="center"/>
              <w:rPr>
                <w:b/>
                <w:bCs/>
              </w:rPr>
            </w:pPr>
            <w:r>
              <w:rPr>
                <w:b/>
                <w:bCs/>
              </w:rPr>
              <w:t>CS – 6</w:t>
            </w:r>
          </w:p>
        </w:tc>
        <w:tc>
          <w:tcPr>
            <w:tcW w:w="1127" w:type="dxa"/>
            <w:shd w:val="clear" w:color="auto" w:fill="auto"/>
          </w:tcPr>
          <w:p w14:paraId="280123EA">
            <w:pPr>
              <w:pStyle w:val="12"/>
              <w:jc w:val="center"/>
            </w:pPr>
            <w:r>
              <w:t>25</w:t>
            </w:r>
          </w:p>
        </w:tc>
        <w:tc>
          <w:tcPr>
            <w:tcW w:w="1127" w:type="dxa"/>
            <w:shd w:val="clear" w:color="auto" w:fill="auto"/>
          </w:tcPr>
          <w:p w14:paraId="39D6B0FF">
            <w:pPr>
              <w:pStyle w:val="12"/>
              <w:jc w:val="center"/>
            </w:pPr>
            <w:r>
              <w:t>2</w:t>
            </w:r>
          </w:p>
        </w:tc>
        <w:tc>
          <w:tcPr>
            <w:tcW w:w="1127" w:type="dxa"/>
            <w:shd w:val="clear" w:color="auto" w:fill="auto"/>
          </w:tcPr>
          <w:p w14:paraId="303068DF">
            <w:pPr>
              <w:pStyle w:val="12"/>
              <w:jc w:val="center"/>
            </w:pPr>
            <w:r>
              <w:t>30</w:t>
            </w:r>
          </w:p>
        </w:tc>
        <w:tc>
          <w:tcPr>
            <w:tcW w:w="1127" w:type="dxa"/>
            <w:shd w:val="clear" w:color="auto" w:fill="auto"/>
          </w:tcPr>
          <w:p w14:paraId="2B65A44A">
            <w:pPr>
              <w:pStyle w:val="12"/>
              <w:jc w:val="center"/>
            </w:pPr>
            <w:r>
              <w:t>2.5</w:t>
            </w:r>
          </w:p>
        </w:tc>
        <w:tc>
          <w:tcPr>
            <w:tcW w:w="1127" w:type="dxa"/>
            <w:shd w:val="clear" w:color="auto" w:fill="auto"/>
          </w:tcPr>
          <w:p w14:paraId="403AE1A5">
            <w:pPr>
              <w:pStyle w:val="12"/>
              <w:jc w:val="center"/>
            </w:pPr>
            <w:r>
              <w:t>0.03</w:t>
            </w:r>
          </w:p>
        </w:tc>
        <w:tc>
          <w:tcPr>
            <w:tcW w:w="1127" w:type="dxa"/>
            <w:shd w:val="clear" w:color="auto" w:fill="auto"/>
          </w:tcPr>
          <w:p w14:paraId="20870A4D">
            <w:pPr>
              <w:pStyle w:val="12"/>
              <w:jc w:val="center"/>
            </w:pPr>
            <w:r>
              <w:t>10°15'34''N, 11°10'25''E</w:t>
            </w:r>
          </w:p>
        </w:tc>
        <w:tc>
          <w:tcPr>
            <w:tcW w:w="1127" w:type="dxa"/>
            <w:shd w:val="clear" w:color="auto" w:fill="auto"/>
          </w:tcPr>
          <w:p w14:paraId="1434D5C7">
            <w:pPr>
              <w:pStyle w:val="12"/>
              <w:jc w:val="center"/>
            </w:pPr>
            <w:r>
              <w:t>436.9</w:t>
            </w:r>
          </w:p>
        </w:tc>
      </w:tr>
      <w:tr w14:paraId="3ADF49C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57959279">
            <w:pPr>
              <w:pStyle w:val="12"/>
              <w:jc w:val="center"/>
              <w:rPr>
                <w:b/>
                <w:bCs/>
              </w:rPr>
            </w:pPr>
            <w:r>
              <w:rPr>
                <w:b/>
                <w:bCs/>
              </w:rPr>
              <w:t>CS – 7</w:t>
            </w:r>
          </w:p>
        </w:tc>
        <w:tc>
          <w:tcPr>
            <w:tcW w:w="1127" w:type="dxa"/>
            <w:shd w:val="clear" w:color="auto" w:fill="auto"/>
          </w:tcPr>
          <w:p w14:paraId="2B67A773">
            <w:pPr>
              <w:pStyle w:val="12"/>
              <w:jc w:val="center"/>
            </w:pPr>
            <w:r>
              <w:t>30</w:t>
            </w:r>
          </w:p>
        </w:tc>
        <w:tc>
          <w:tcPr>
            <w:tcW w:w="1127" w:type="dxa"/>
            <w:shd w:val="clear" w:color="auto" w:fill="auto"/>
          </w:tcPr>
          <w:p w14:paraId="4C56A77F">
            <w:pPr>
              <w:pStyle w:val="12"/>
              <w:jc w:val="center"/>
            </w:pPr>
            <w:r>
              <w:t>2.5</w:t>
            </w:r>
          </w:p>
        </w:tc>
        <w:tc>
          <w:tcPr>
            <w:tcW w:w="1127" w:type="dxa"/>
            <w:shd w:val="clear" w:color="auto" w:fill="auto"/>
          </w:tcPr>
          <w:p w14:paraId="3C8DE69E">
            <w:pPr>
              <w:pStyle w:val="12"/>
              <w:jc w:val="center"/>
            </w:pPr>
            <w:r>
              <w:t>40</w:t>
            </w:r>
          </w:p>
        </w:tc>
        <w:tc>
          <w:tcPr>
            <w:tcW w:w="1127" w:type="dxa"/>
            <w:shd w:val="clear" w:color="auto" w:fill="auto"/>
          </w:tcPr>
          <w:p w14:paraId="468DE998">
            <w:pPr>
              <w:pStyle w:val="12"/>
              <w:jc w:val="center"/>
            </w:pPr>
            <w:r>
              <w:t>3.5</w:t>
            </w:r>
          </w:p>
        </w:tc>
        <w:tc>
          <w:tcPr>
            <w:tcW w:w="1127" w:type="dxa"/>
            <w:shd w:val="clear" w:color="auto" w:fill="auto"/>
          </w:tcPr>
          <w:p w14:paraId="6D4E5442">
            <w:pPr>
              <w:pStyle w:val="12"/>
              <w:jc w:val="center"/>
            </w:pPr>
            <w:r>
              <w:t>0.04</w:t>
            </w:r>
          </w:p>
        </w:tc>
        <w:tc>
          <w:tcPr>
            <w:tcW w:w="1127" w:type="dxa"/>
            <w:shd w:val="clear" w:color="auto" w:fill="auto"/>
          </w:tcPr>
          <w:p w14:paraId="7DD99B7F">
            <w:pPr>
              <w:pStyle w:val="12"/>
              <w:jc w:val="center"/>
            </w:pPr>
            <w:r>
              <w:t>10°15'27''N, 11°10'22''E</w:t>
            </w:r>
          </w:p>
        </w:tc>
        <w:tc>
          <w:tcPr>
            <w:tcW w:w="1127" w:type="dxa"/>
            <w:shd w:val="clear" w:color="auto" w:fill="auto"/>
          </w:tcPr>
          <w:p w14:paraId="47943421">
            <w:pPr>
              <w:pStyle w:val="12"/>
              <w:jc w:val="center"/>
            </w:pPr>
            <w:r>
              <w:t>437.36</w:t>
            </w:r>
          </w:p>
        </w:tc>
      </w:tr>
      <w:tr w14:paraId="29599A3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7" w:type="dxa"/>
            <w:shd w:val="clear" w:color="auto" w:fill="auto"/>
          </w:tcPr>
          <w:p w14:paraId="256A9A87">
            <w:pPr>
              <w:pStyle w:val="12"/>
              <w:jc w:val="center"/>
              <w:rPr>
                <w:b/>
                <w:bCs/>
              </w:rPr>
            </w:pPr>
            <w:r>
              <w:rPr>
                <w:b/>
                <w:bCs/>
              </w:rPr>
              <w:t>CS – 8</w:t>
            </w:r>
          </w:p>
        </w:tc>
        <w:tc>
          <w:tcPr>
            <w:tcW w:w="1127" w:type="dxa"/>
            <w:shd w:val="clear" w:color="auto" w:fill="auto"/>
          </w:tcPr>
          <w:p w14:paraId="62C10038">
            <w:pPr>
              <w:pStyle w:val="12"/>
              <w:jc w:val="center"/>
            </w:pPr>
            <w:r>
              <w:t>35</w:t>
            </w:r>
          </w:p>
        </w:tc>
        <w:tc>
          <w:tcPr>
            <w:tcW w:w="1127" w:type="dxa"/>
            <w:shd w:val="clear" w:color="auto" w:fill="auto"/>
          </w:tcPr>
          <w:p w14:paraId="44E8B7DA">
            <w:pPr>
              <w:pStyle w:val="12"/>
              <w:jc w:val="center"/>
            </w:pPr>
            <w:r>
              <w:t>3</w:t>
            </w:r>
          </w:p>
        </w:tc>
        <w:tc>
          <w:tcPr>
            <w:tcW w:w="1127" w:type="dxa"/>
            <w:shd w:val="clear" w:color="auto" w:fill="auto"/>
          </w:tcPr>
          <w:p w14:paraId="77AC715E">
            <w:pPr>
              <w:pStyle w:val="12"/>
              <w:jc w:val="center"/>
            </w:pPr>
            <w:r>
              <w:t>40</w:t>
            </w:r>
          </w:p>
        </w:tc>
        <w:tc>
          <w:tcPr>
            <w:tcW w:w="1127" w:type="dxa"/>
            <w:shd w:val="clear" w:color="auto" w:fill="auto"/>
          </w:tcPr>
          <w:p w14:paraId="7D07AFF1">
            <w:pPr>
              <w:pStyle w:val="12"/>
              <w:jc w:val="center"/>
            </w:pPr>
            <w:r>
              <w:t>3.5</w:t>
            </w:r>
          </w:p>
        </w:tc>
        <w:tc>
          <w:tcPr>
            <w:tcW w:w="1127" w:type="dxa"/>
            <w:shd w:val="clear" w:color="auto" w:fill="auto"/>
          </w:tcPr>
          <w:p w14:paraId="47FB977D">
            <w:pPr>
              <w:pStyle w:val="12"/>
              <w:jc w:val="center"/>
            </w:pPr>
            <w:r>
              <w:t>0.05</w:t>
            </w:r>
          </w:p>
        </w:tc>
        <w:tc>
          <w:tcPr>
            <w:tcW w:w="1127" w:type="dxa"/>
            <w:shd w:val="clear" w:color="auto" w:fill="auto"/>
          </w:tcPr>
          <w:p w14:paraId="61859BF0">
            <w:pPr>
              <w:pStyle w:val="12"/>
              <w:jc w:val="center"/>
            </w:pPr>
            <w:r>
              <w:t>10°15'29''N, 11°10'12''E</w:t>
            </w:r>
          </w:p>
        </w:tc>
        <w:tc>
          <w:tcPr>
            <w:tcW w:w="1127" w:type="dxa"/>
            <w:shd w:val="clear" w:color="auto" w:fill="auto"/>
          </w:tcPr>
          <w:p w14:paraId="52E0877C">
            <w:pPr>
              <w:pStyle w:val="12"/>
              <w:jc w:val="center"/>
            </w:pPr>
            <w:r>
              <w:t>439.29</w:t>
            </w:r>
          </w:p>
        </w:tc>
      </w:tr>
    </w:tbl>
    <w:p w14:paraId="61B8692D">
      <w:pPr>
        <w:pStyle w:val="12"/>
        <w:jc w:val="both"/>
      </w:pPr>
      <w:r>
        <w:t>Source: Field Work, 2025</w:t>
      </w:r>
    </w:p>
    <w:p w14:paraId="0758BA8A">
      <w:pPr>
        <w:pStyle w:val="2"/>
        <w:spacing w:line="240" w:lineRule="auto"/>
        <w:rPr>
          <w:rFonts w:ascii="Times New Roman" w:hAnsi="Times New Roman" w:cs="Times New Roman"/>
          <w:szCs w:val="24"/>
        </w:rPr>
      </w:pPr>
      <w:bookmarkStart w:id="10" w:name="_Toc259675640"/>
      <w:r>
        <w:rPr>
          <w:rFonts w:ascii="Times New Roman" w:hAnsi="Times New Roman" w:cs="Times New Roman"/>
          <w:szCs w:val="24"/>
        </w:rPr>
        <w:t>3.4.3 Upper Reach of the Catchment</w:t>
      </w:r>
      <w:bookmarkEnd w:id="10"/>
    </w:p>
    <w:p w14:paraId="536E4C25">
      <w:pPr>
        <w:pStyle w:val="12"/>
        <w:jc w:val="both"/>
      </w:pPr>
      <w:r>
        <w:t>In the upper reach of the catchment (Table 5), the finding shows a characterized higher elevation, the cross-sectional data depicts narrower and shallower channel dimensions compared to the middle and lower reaches. Channel widths and depths are generally smaller, reflecting a narrower and more confined river channel in the upper reaches. For example, at CS-9 in the upper reach, the channel width is 15 meters with a depth of 1 meter, indicating a relatively narrow and shallow channel compared to the lower and middle reaches. However, the channel width and depth gradually increase downstream, as observed at CS-12, with a width of 30 meters and a depth of 2.5 meters, indicating a transition towards the wider and deeper characteristics of the middle and lower reaches.</w:t>
      </w:r>
    </w:p>
    <w:p w14:paraId="796D8BBC">
      <w:pPr>
        <w:pStyle w:val="12"/>
        <w:jc w:val="both"/>
      </w:pPr>
    </w:p>
    <w:p w14:paraId="329FA55B">
      <w:pPr>
        <w:pStyle w:val="12"/>
        <w:jc w:val="both"/>
      </w:pPr>
    </w:p>
    <w:p w14:paraId="27A82E5A">
      <w:pPr>
        <w:pStyle w:val="12"/>
        <w:jc w:val="both"/>
      </w:pPr>
    </w:p>
    <w:p w14:paraId="1D0CC53F">
      <w:pPr>
        <w:pStyle w:val="12"/>
        <w:jc w:val="both"/>
      </w:pPr>
    </w:p>
    <w:p w14:paraId="5664E886">
      <w:pPr>
        <w:pStyle w:val="12"/>
        <w:jc w:val="both"/>
      </w:pPr>
    </w:p>
    <w:p w14:paraId="496BF420">
      <w:pPr>
        <w:pStyle w:val="12"/>
        <w:jc w:val="both"/>
      </w:pPr>
    </w:p>
    <w:p w14:paraId="7B6F2483">
      <w:pPr>
        <w:pStyle w:val="12"/>
        <w:jc w:val="both"/>
      </w:pPr>
    </w:p>
    <w:p w14:paraId="1E51AF6B">
      <w:pPr>
        <w:pStyle w:val="12"/>
        <w:jc w:val="both"/>
      </w:pPr>
    </w:p>
    <w:p w14:paraId="7A411DEF">
      <w:pPr>
        <w:pStyle w:val="12"/>
        <w:jc w:val="both"/>
        <w:rPr>
          <w:b/>
          <w:bCs/>
        </w:rPr>
      </w:pPr>
      <w:r>
        <w:rPr>
          <w:b/>
          <w:bCs/>
        </w:rPr>
        <w:t>Table 5: Upper Reach of the Catchment</w:t>
      </w:r>
    </w:p>
    <w:tbl>
      <w:tblPr>
        <w:tblStyle w:val="14"/>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2"/>
        <w:gridCol w:w="1098"/>
        <w:gridCol w:w="1098"/>
        <w:gridCol w:w="1105"/>
        <w:gridCol w:w="1105"/>
        <w:gridCol w:w="1029"/>
        <w:gridCol w:w="1470"/>
        <w:gridCol w:w="1190"/>
      </w:tblGrid>
      <w:tr w14:paraId="090BA3A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2" w:type="dxa"/>
            <w:tcBorders>
              <w:bottom w:val="single" w:color="000000" w:themeColor="text1" w:sz="4" w:space="0"/>
              <w:insideH w:val="single" w:sz="4" w:space="0"/>
            </w:tcBorders>
            <w:shd w:val="clear" w:color="auto" w:fill="auto"/>
          </w:tcPr>
          <w:p w14:paraId="63496A62">
            <w:pPr>
              <w:pStyle w:val="12"/>
              <w:jc w:val="center"/>
              <w:rPr>
                <w:b/>
                <w:bCs/>
              </w:rPr>
            </w:pPr>
            <w:r>
              <w:rPr>
                <w:b/>
                <w:bCs/>
              </w:rPr>
              <w:t>Cross-section ID</w:t>
            </w:r>
          </w:p>
        </w:tc>
        <w:tc>
          <w:tcPr>
            <w:tcW w:w="1098" w:type="dxa"/>
            <w:tcBorders>
              <w:bottom w:val="single" w:color="000000" w:themeColor="text1" w:sz="4" w:space="0"/>
              <w:insideH w:val="single" w:sz="4" w:space="0"/>
            </w:tcBorders>
            <w:shd w:val="clear" w:color="auto" w:fill="auto"/>
          </w:tcPr>
          <w:p w14:paraId="38FE0876">
            <w:pPr>
              <w:pStyle w:val="12"/>
              <w:jc w:val="center"/>
              <w:rPr>
                <w:b/>
                <w:bCs/>
              </w:rPr>
            </w:pPr>
            <w:r>
              <w:rPr>
                <w:b/>
                <w:bCs/>
              </w:rPr>
              <w:t>Channel Width (m)</w:t>
            </w:r>
          </w:p>
        </w:tc>
        <w:tc>
          <w:tcPr>
            <w:tcW w:w="1098" w:type="dxa"/>
            <w:tcBorders>
              <w:bottom w:val="single" w:color="000000" w:themeColor="text1" w:sz="4" w:space="0"/>
              <w:insideH w:val="single" w:sz="4" w:space="0"/>
            </w:tcBorders>
            <w:shd w:val="clear" w:color="auto" w:fill="auto"/>
          </w:tcPr>
          <w:p w14:paraId="6A5DF17D">
            <w:pPr>
              <w:pStyle w:val="12"/>
              <w:jc w:val="center"/>
              <w:rPr>
                <w:b/>
                <w:bCs/>
              </w:rPr>
            </w:pPr>
            <w:r>
              <w:rPr>
                <w:b/>
                <w:bCs/>
              </w:rPr>
              <w:t>Channel Depth (m)</w:t>
            </w:r>
          </w:p>
        </w:tc>
        <w:tc>
          <w:tcPr>
            <w:tcW w:w="1105" w:type="dxa"/>
            <w:tcBorders>
              <w:bottom w:val="single" w:color="000000" w:themeColor="text1" w:sz="4" w:space="0"/>
              <w:insideH w:val="single" w:sz="4" w:space="0"/>
            </w:tcBorders>
            <w:shd w:val="clear" w:color="auto" w:fill="auto"/>
          </w:tcPr>
          <w:p w14:paraId="45F2C897">
            <w:pPr>
              <w:pStyle w:val="12"/>
              <w:jc w:val="center"/>
              <w:rPr>
                <w:b/>
                <w:bCs/>
              </w:rPr>
            </w:pPr>
            <w:r>
              <w:rPr>
                <w:b/>
                <w:bCs/>
              </w:rPr>
              <w:t>Bank full Width (m)</w:t>
            </w:r>
          </w:p>
        </w:tc>
        <w:tc>
          <w:tcPr>
            <w:tcW w:w="1105" w:type="dxa"/>
            <w:tcBorders>
              <w:bottom w:val="single" w:color="000000" w:themeColor="text1" w:sz="4" w:space="0"/>
              <w:insideH w:val="single" w:sz="4" w:space="0"/>
            </w:tcBorders>
            <w:shd w:val="clear" w:color="auto" w:fill="auto"/>
          </w:tcPr>
          <w:p w14:paraId="1D112260">
            <w:pPr>
              <w:pStyle w:val="12"/>
              <w:jc w:val="center"/>
              <w:rPr>
                <w:b/>
                <w:bCs/>
              </w:rPr>
            </w:pPr>
            <w:r>
              <w:rPr>
                <w:b/>
                <w:bCs/>
              </w:rPr>
              <w:t>Bank full Depth (m)</w:t>
            </w:r>
          </w:p>
        </w:tc>
        <w:tc>
          <w:tcPr>
            <w:tcW w:w="1029" w:type="dxa"/>
            <w:tcBorders>
              <w:bottom w:val="single" w:color="000000" w:themeColor="text1" w:sz="4" w:space="0"/>
              <w:insideH w:val="single" w:sz="4" w:space="0"/>
            </w:tcBorders>
            <w:shd w:val="clear" w:color="auto" w:fill="auto"/>
          </w:tcPr>
          <w:p w14:paraId="202EA54B">
            <w:pPr>
              <w:pStyle w:val="12"/>
              <w:jc w:val="center"/>
              <w:rPr>
                <w:b/>
                <w:bCs/>
              </w:rPr>
            </w:pPr>
            <w:r>
              <w:rPr>
                <w:b/>
                <w:bCs/>
              </w:rPr>
              <w:t>Slope (%)</w:t>
            </w:r>
          </w:p>
        </w:tc>
        <w:tc>
          <w:tcPr>
            <w:tcW w:w="1396" w:type="dxa"/>
            <w:tcBorders>
              <w:bottom w:val="single" w:color="000000" w:themeColor="text1" w:sz="4" w:space="0"/>
              <w:insideH w:val="single" w:sz="4" w:space="0"/>
            </w:tcBorders>
            <w:shd w:val="clear" w:color="auto" w:fill="auto"/>
          </w:tcPr>
          <w:p w14:paraId="25251BFC">
            <w:pPr>
              <w:pStyle w:val="12"/>
              <w:jc w:val="center"/>
              <w:rPr>
                <w:b/>
                <w:bCs/>
              </w:rPr>
            </w:pPr>
            <w:r>
              <w:rPr>
                <w:b/>
                <w:bCs/>
              </w:rPr>
              <w:t>Coordinates</w:t>
            </w:r>
          </w:p>
          <w:p w14:paraId="57CCB1D7">
            <w:pPr>
              <w:pStyle w:val="12"/>
              <w:jc w:val="center"/>
              <w:rPr>
                <w:b/>
                <w:bCs/>
              </w:rPr>
            </w:pPr>
            <w:r>
              <w:rPr>
                <w:b/>
                <w:bCs/>
              </w:rPr>
              <w:t>(Lat, Long)</w:t>
            </w:r>
          </w:p>
        </w:tc>
        <w:tc>
          <w:tcPr>
            <w:tcW w:w="1123" w:type="dxa"/>
            <w:tcBorders>
              <w:bottom w:val="single" w:color="000000" w:themeColor="text1" w:sz="4" w:space="0"/>
              <w:insideH w:val="single" w:sz="4" w:space="0"/>
            </w:tcBorders>
            <w:shd w:val="clear" w:color="auto" w:fill="auto"/>
          </w:tcPr>
          <w:p w14:paraId="12342032">
            <w:pPr>
              <w:pStyle w:val="12"/>
              <w:jc w:val="center"/>
              <w:rPr>
                <w:b/>
                <w:bCs/>
              </w:rPr>
            </w:pPr>
            <w:r>
              <w:rPr>
                <w:b/>
                <w:bCs/>
              </w:rPr>
              <w:t>Elevation (m)</w:t>
            </w:r>
          </w:p>
        </w:tc>
      </w:tr>
      <w:tr w14:paraId="6DA1AF0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2" w:type="dxa"/>
            <w:shd w:val="clear" w:color="auto" w:fill="auto"/>
          </w:tcPr>
          <w:p w14:paraId="4E246E6F">
            <w:pPr>
              <w:pStyle w:val="12"/>
              <w:jc w:val="center"/>
              <w:rPr>
                <w:b/>
                <w:bCs/>
              </w:rPr>
            </w:pPr>
            <w:r>
              <w:rPr>
                <w:b/>
                <w:bCs/>
              </w:rPr>
              <w:t>CS – 9</w:t>
            </w:r>
          </w:p>
        </w:tc>
        <w:tc>
          <w:tcPr>
            <w:tcW w:w="1098" w:type="dxa"/>
            <w:shd w:val="clear" w:color="auto" w:fill="auto"/>
          </w:tcPr>
          <w:p w14:paraId="37370FAB">
            <w:pPr>
              <w:pStyle w:val="12"/>
              <w:jc w:val="center"/>
            </w:pPr>
            <w:r>
              <w:t>15</w:t>
            </w:r>
          </w:p>
        </w:tc>
        <w:tc>
          <w:tcPr>
            <w:tcW w:w="1098" w:type="dxa"/>
            <w:shd w:val="clear" w:color="auto" w:fill="auto"/>
          </w:tcPr>
          <w:p w14:paraId="51A0AFC7">
            <w:pPr>
              <w:pStyle w:val="12"/>
              <w:jc w:val="center"/>
            </w:pPr>
            <w:r>
              <w:t>1</w:t>
            </w:r>
          </w:p>
        </w:tc>
        <w:tc>
          <w:tcPr>
            <w:tcW w:w="1105" w:type="dxa"/>
            <w:shd w:val="clear" w:color="auto" w:fill="auto"/>
          </w:tcPr>
          <w:p w14:paraId="31BB5E12">
            <w:pPr>
              <w:pStyle w:val="12"/>
              <w:jc w:val="center"/>
            </w:pPr>
            <w:r>
              <w:t>40</w:t>
            </w:r>
          </w:p>
        </w:tc>
        <w:tc>
          <w:tcPr>
            <w:tcW w:w="1105" w:type="dxa"/>
            <w:shd w:val="clear" w:color="auto" w:fill="auto"/>
          </w:tcPr>
          <w:p w14:paraId="2B0AE9E2">
            <w:pPr>
              <w:pStyle w:val="12"/>
              <w:jc w:val="center"/>
            </w:pPr>
            <w:r>
              <w:t>1.5</w:t>
            </w:r>
          </w:p>
        </w:tc>
        <w:tc>
          <w:tcPr>
            <w:tcW w:w="1029" w:type="dxa"/>
            <w:shd w:val="clear" w:color="auto" w:fill="auto"/>
          </w:tcPr>
          <w:p w14:paraId="5A61C79E">
            <w:pPr>
              <w:pStyle w:val="12"/>
              <w:jc w:val="center"/>
            </w:pPr>
            <w:r>
              <w:t>0.01</w:t>
            </w:r>
          </w:p>
        </w:tc>
        <w:tc>
          <w:tcPr>
            <w:tcW w:w="1396" w:type="dxa"/>
            <w:shd w:val="clear" w:color="auto" w:fill="auto"/>
          </w:tcPr>
          <w:p w14:paraId="5AB8A9C0">
            <w:pPr>
              <w:pStyle w:val="12"/>
              <w:jc w:val="center"/>
            </w:pPr>
            <w:r>
              <w:t>10°15'16''N, 11°10'07''E</w:t>
            </w:r>
          </w:p>
        </w:tc>
        <w:tc>
          <w:tcPr>
            <w:tcW w:w="1123" w:type="dxa"/>
            <w:shd w:val="clear" w:color="auto" w:fill="auto"/>
          </w:tcPr>
          <w:p w14:paraId="0EC7B792">
            <w:pPr>
              <w:pStyle w:val="12"/>
              <w:jc w:val="center"/>
            </w:pPr>
            <w:r>
              <w:t>443.02</w:t>
            </w:r>
          </w:p>
        </w:tc>
      </w:tr>
      <w:tr w14:paraId="4CD0BE6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2" w:type="dxa"/>
            <w:shd w:val="clear" w:color="auto" w:fill="auto"/>
          </w:tcPr>
          <w:p w14:paraId="68FED9AF">
            <w:pPr>
              <w:pStyle w:val="12"/>
              <w:jc w:val="center"/>
              <w:rPr>
                <w:b/>
                <w:bCs/>
              </w:rPr>
            </w:pPr>
            <w:r>
              <w:rPr>
                <w:b/>
                <w:bCs/>
              </w:rPr>
              <w:t>CS – 10</w:t>
            </w:r>
          </w:p>
        </w:tc>
        <w:tc>
          <w:tcPr>
            <w:tcW w:w="1098" w:type="dxa"/>
            <w:shd w:val="clear" w:color="auto" w:fill="auto"/>
          </w:tcPr>
          <w:p w14:paraId="5D45169A">
            <w:pPr>
              <w:pStyle w:val="12"/>
              <w:jc w:val="center"/>
            </w:pPr>
            <w:r>
              <w:t>20</w:t>
            </w:r>
          </w:p>
        </w:tc>
        <w:tc>
          <w:tcPr>
            <w:tcW w:w="1098" w:type="dxa"/>
            <w:shd w:val="clear" w:color="auto" w:fill="auto"/>
          </w:tcPr>
          <w:p w14:paraId="28432EBD">
            <w:pPr>
              <w:pStyle w:val="12"/>
              <w:jc w:val="center"/>
            </w:pPr>
            <w:r>
              <w:t>1.5</w:t>
            </w:r>
          </w:p>
        </w:tc>
        <w:tc>
          <w:tcPr>
            <w:tcW w:w="1105" w:type="dxa"/>
            <w:shd w:val="clear" w:color="auto" w:fill="auto"/>
          </w:tcPr>
          <w:p w14:paraId="6204CB99">
            <w:pPr>
              <w:pStyle w:val="12"/>
              <w:jc w:val="center"/>
            </w:pPr>
            <w:r>
              <w:t>25</w:t>
            </w:r>
          </w:p>
        </w:tc>
        <w:tc>
          <w:tcPr>
            <w:tcW w:w="1105" w:type="dxa"/>
            <w:shd w:val="clear" w:color="auto" w:fill="auto"/>
          </w:tcPr>
          <w:p w14:paraId="41E5ACC4">
            <w:pPr>
              <w:pStyle w:val="12"/>
              <w:jc w:val="center"/>
            </w:pPr>
            <w:r>
              <w:t>2</w:t>
            </w:r>
          </w:p>
        </w:tc>
        <w:tc>
          <w:tcPr>
            <w:tcW w:w="1029" w:type="dxa"/>
            <w:shd w:val="clear" w:color="auto" w:fill="auto"/>
          </w:tcPr>
          <w:p w14:paraId="745E8374">
            <w:pPr>
              <w:pStyle w:val="12"/>
              <w:jc w:val="center"/>
            </w:pPr>
            <w:r>
              <w:t>0.02</w:t>
            </w:r>
          </w:p>
        </w:tc>
        <w:tc>
          <w:tcPr>
            <w:tcW w:w="1396" w:type="dxa"/>
            <w:shd w:val="clear" w:color="auto" w:fill="auto"/>
          </w:tcPr>
          <w:p w14:paraId="5A326A9D">
            <w:pPr>
              <w:pStyle w:val="12"/>
              <w:jc w:val="center"/>
            </w:pPr>
            <w:r>
              <w:t>10°15'12''N, 11°10'00''E</w:t>
            </w:r>
          </w:p>
        </w:tc>
        <w:tc>
          <w:tcPr>
            <w:tcW w:w="1123" w:type="dxa"/>
            <w:shd w:val="clear" w:color="auto" w:fill="auto"/>
          </w:tcPr>
          <w:p w14:paraId="13553FE5">
            <w:pPr>
              <w:pStyle w:val="12"/>
              <w:jc w:val="center"/>
            </w:pPr>
            <w:r>
              <w:t>446.20</w:t>
            </w:r>
          </w:p>
        </w:tc>
      </w:tr>
      <w:tr w14:paraId="66D30B0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2" w:type="dxa"/>
            <w:shd w:val="clear" w:color="auto" w:fill="auto"/>
          </w:tcPr>
          <w:p w14:paraId="1FAE3C38">
            <w:pPr>
              <w:pStyle w:val="12"/>
              <w:jc w:val="center"/>
              <w:rPr>
                <w:b/>
                <w:bCs/>
              </w:rPr>
            </w:pPr>
            <w:r>
              <w:rPr>
                <w:b/>
                <w:bCs/>
              </w:rPr>
              <w:t>CS – 11</w:t>
            </w:r>
          </w:p>
        </w:tc>
        <w:tc>
          <w:tcPr>
            <w:tcW w:w="1098" w:type="dxa"/>
            <w:shd w:val="clear" w:color="auto" w:fill="auto"/>
          </w:tcPr>
          <w:p w14:paraId="6C604CB5">
            <w:pPr>
              <w:pStyle w:val="12"/>
              <w:jc w:val="center"/>
            </w:pPr>
            <w:r>
              <w:t>25</w:t>
            </w:r>
          </w:p>
        </w:tc>
        <w:tc>
          <w:tcPr>
            <w:tcW w:w="1098" w:type="dxa"/>
            <w:shd w:val="clear" w:color="auto" w:fill="auto"/>
          </w:tcPr>
          <w:p w14:paraId="6480E92F">
            <w:pPr>
              <w:pStyle w:val="12"/>
              <w:jc w:val="center"/>
            </w:pPr>
            <w:r>
              <w:t>3</w:t>
            </w:r>
          </w:p>
        </w:tc>
        <w:tc>
          <w:tcPr>
            <w:tcW w:w="1105" w:type="dxa"/>
            <w:shd w:val="clear" w:color="auto" w:fill="auto"/>
          </w:tcPr>
          <w:p w14:paraId="52BB8A01">
            <w:pPr>
              <w:pStyle w:val="12"/>
              <w:jc w:val="center"/>
            </w:pPr>
            <w:r>
              <w:t>30</w:t>
            </w:r>
          </w:p>
        </w:tc>
        <w:tc>
          <w:tcPr>
            <w:tcW w:w="1105" w:type="dxa"/>
            <w:shd w:val="clear" w:color="auto" w:fill="auto"/>
          </w:tcPr>
          <w:p w14:paraId="7C3B882A">
            <w:pPr>
              <w:pStyle w:val="12"/>
              <w:jc w:val="center"/>
            </w:pPr>
            <w:r>
              <w:t>2.5</w:t>
            </w:r>
          </w:p>
        </w:tc>
        <w:tc>
          <w:tcPr>
            <w:tcW w:w="1029" w:type="dxa"/>
            <w:shd w:val="clear" w:color="auto" w:fill="auto"/>
          </w:tcPr>
          <w:p w14:paraId="0F2D48F1">
            <w:pPr>
              <w:pStyle w:val="12"/>
              <w:jc w:val="center"/>
            </w:pPr>
            <w:r>
              <w:t>0.03</w:t>
            </w:r>
          </w:p>
        </w:tc>
        <w:tc>
          <w:tcPr>
            <w:tcW w:w="1396" w:type="dxa"/>
            <w:shd w:val="clear" w:color="auto" w:fill="auto"/>
          </w:tcPr>
          <w:p w14:paraId="7AD9089F">
            <w:pPr>
              <w:pStyle w:val="12"/>
              <w:jc w:val="center"/>
            </w:pPr>
            <w:r>
              <w:t>10°15'12''N, 11°09'14''E</w:t>
            </w:r>
          </w:p>
        </w:tc>
        <w:tc>
          <w:tcPr>
            <w:tcW w:w="1123" w:type="dxa"/>
            <w:shd w:val="clear" w:color="auto" w:fill="auto"/>
          </w:tcPr>
          <w:p w14:paraId="2D93611C">
            <w:pPr>
              <w:pStyle w:val="12"/>
              <w:jc w:val="center"/>
            </w:pPr>
            <w:r>
              <w:t>449.64</w:t>
            </w:r>
          </w:p>
        </w:tc>
      </w:tr>
      <w:tr w14:paraId="75A5709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2" w:type="dxa"/>
            <w:shd w:val="clear" w:color="auto" w:fill="auto"/>
          </w:tcPr>
          <w:p w14:paraId="57F30795">
            <w:pPr>
              <w:pStyle w:val="12"/>
              <w:jc w:val="center"/>
              <w:rPr>
                <w:b/>
                <w:bCs/>
              </w:rPr>
            </w:pPr>
            <w:r>
              <w:rPr>
                <w:b/>
                <w:bCs/>
              </w:rPr>
              <w:t>CS – 12</w:t>
            </w:r>
          </w:p>
        </w:tc>
        <w:tc>
          <w:tcPr>
            <w:tcW w:w="1098" w:type="dxa"/>
            <w:shd w:val="clear" w:color="auto" w:fill="auto"/>
          </w:tcPr>
          <w:p w14:paraId="6589F41D">
            <w:pPr>
              <w:pStyle w:val="12"/>
              <w:jc w:val="center"/>
            </w:pPr>
            <w:r>
              <w:t>30</w:t>
            </w:r>
          </w:p>
        </w:tc>
        <w:tc>
          <w:tcPr>
            <w:tcW w:w="1098" w:type="dxa"/>
            <w:shd w:val="clear" w:color="auto" w:fill="auto"/>
          </w:tcPr>
          <w:p w14:paraId="561025E6">
            <w:pPr>
              <w:pStyle w:val="12"/>
              <w:jc w:val="center"/>
            </w:pPr>
            <w:r>
              <w:t>2.5</w:t>
            </w:r>
          </w:p>
        </w:tc>
        <w:tc>
          <w:tcPr>
            <w:tcW w:w="1105" w:type="dxa"/>
            <w:shd w:val="clear" w:color="auto" w:fill="auto"/>
          </w:tcPr>
          <w:p w14:paraId="6F963D08">
            <w:pPr>
              <w:pStyle w:val="12"/>
              <w:jc w:val="center"/>
            </w:pPr>
            <w:r>
              <w:t>35</w:t>
            </w:r>
          </w:p>
        </w:tc>
        <w:tc>
          <w:tcPr>
            <w:tcW w:w="1105" w:type="dxa"/>
            <w:shd w:val="clear" w:color="auto" w:fill="auto"/>
          </w:tcPr>
          <w:p w14:paraId="0B1A40C8">
            <w:pPr>
              <w:pStyle w:val="12"/>
              <w:jc w:val="center"/>
            </w:pPr>
            <w:r>
              <w:t>3</w:t>
            </w:r>
          </w:p>
        </w:tc>
        <w:tc>
          <w:tcPr>
            <w:tcW w:w="1029" w:type="dxa"/>
            <w:shd w:val="clear" w:color="auto" w:fill="auto"/>
          </w:tcPr>
          <w:p w14:paraId="5AE78055">
            <w:pPr>
              <w:pStyle w:val="12"/>
              <w:jc w:val="center"/>
            </w:pPr>
            <w:r>
              <w:t>0.04</w:t>
            </w:r>
          </w:p>
        </w:tc>
        <w:tc>
          <w:tcPr>
            <w:tcW w:w="1396" w:type="dxa"/>
            <w:shd w:val="clear" w:color="auto" w:fill="auto"/>
          </w:tcPr>
          <w:p w14:paraId="270A4271">
            <w:pPr>
              <w:pStyle w:val="12"/>
              <w:jc w:val="center"/>
            </w:pPr>
            <w:r>
              <w:t>10°15'17''N, 11°09'43''E</w:t>
            </w:r>
          </w:p>
        </w:tc>
        <w:tc>
          <w:tcPr>
            <w:tcW w:w="1123" w:type="dxa"/>
            <w:shd w:val="clear" w:color="auto" w:fill="auto"/>
          </w:tcPr>
          <w:p w14:paraId="4CFF32C2">
            <w:pPr>
              <w:pStyle w:val="12"/>
              <w:jc w:val="center"/>
            </w:pPr>
            <w:r>
              <w:t>455.47</w:t>
            </w:r>
          </w:p>
        </w:tc>
      </w:tr>
    </w:tbl>
    <w:p w14:paraId="13CA712F">
      <w:pPr>
        <w:pStyle w:val="12"/>
        <w:jc w:val="both"/>
      </w:pPr>
      <w:r>
        <w:t>Source: Field Work, 2025</w:t>
      </w:r>
      <w:bookmarkStart w:id="11" w:name="_Toc259675646"/>
    </w:p>
    <w:p w14:paraId="4B8434AB">
      <w:pPr>
        <w:pStyle w:val="2"/>
        <w:spacing w:line="240" w:lineRule="auto"/>
        <w:rPr>
          <w:rFonts w:ascii="Times New Roman" w:hAnsi="Times New Roman" w:cs="Times New Roman"/>
          <w:szCs w:val="24"/>
        </w:rPr>
      </w:pPr>
      <w:bookmarkStart w:id="12" w:name="_Toc259675644"/>
      <w:r>
        <w:rPr>
          <w:rFonts w:ascii="Times New Roman" w:hAnsi="Times New Roman" w:cs="Times New Roman"/>
          <w:szCs w:val="24"/>
        </w:rPr>
        <w:t>4. CONCLUSION</w:t>
      </w:r>
      <w:bookmarkEnd w:id="12"/>
    </w:p>
    <w:p w14:paraId="066A6EFC">
      <w:pPr>
        <w:pStyle w:val="12"/>
        <w:jc w:val="both"/>
      </w:pPr>
      <w:r>
        <w:t>The research undertaken to assess bank erosion and cross-profile variability within the Riyadh Catchment, situated in Akko Local Government Area, Gombe State, provides a comprehensive understanding of the factors influencing erosion dynamics and channel morphology in the region. The geological analysis underscores the predominance of sedimentary rocks, particularly the unconsolidated Keri-Keri Formation, which contributes to erosion susceptibility within the catchment. Hydrological characteristics, such as average annual rainfall and peak flow rates, alongside human activities like urbanization, deforestation, and agricultural practices, further exacerbate erosion processes.</w:t>
      </w:r>
    </w:p>
    <w:p w14:paraId="0754B5FC">
      <w:pPr>
        <w:pStyle w:val="12"/>
        <w:jc w:val="both"/>
      </w:pPr>
      <w:r>
        <w:t>Quantification of bank erosion rates across different segments of the catchment highlights spatial variability, with the lower reach exhibiting higher erosion rates compared to the middle and upper reaches. Cross-profile variability analysis reveals distinct morphological characteristics along the river course, with wider and deeper channels observed in the lower reach and narrower, shallower channels in the upper reach. The middle reach demonstrates intermediate channel morphologies.</w:t>
      </w:r>
    </w:p>
    <w:p w14:paraId="1439BBEC">
      <w:pPr>
        <w:pStyle w:val="12"/>
        <w:jc w:val="both"/>
      </w:pPr>
      <w:r>
        <w:t>Comparisons with previous research align findings, indicating the influence of geological characteristics, anthropogenic activities, and channel confinement on erosion dynamics and channel morphology. Studies underscore the importance of localized research to inform erosion management strategies tailored to specific catchment characteristics.</w:t>
      </w:r>
    </w:p>
    <w:p w14:paraId="4E30616F">
      <w:pPr>
        <w:pStyle w:val="12"/>
        <w:jc w:val="both"/>
      </w:pPr>
      <w:r>
        <w:t>The research contributes valuable insights into erosion processes and channel morphology within the Riyadh Catchment, providing a foundation for informed decision-making in watershed management and erosion control efforts. By recognizing the spatial variability and underlying factors driving erosion dynamics, stakeholders can develop targeted strategies to mitigate erosion impacts and sustainably manage water resources within the catchment, ensuring the resilience of the local ecosystem and communities against erosion-related challenges.</w:t>
      </w:r>
    </w:p>
    <w:p w14:paraId="6D5AFAB4">
      <w:pPr>
        <w:pStyle w:val="2"/>
        <w:numPr>
          <w:ilvl w:val="0"/>
          <w:numId w:val="2"/>
        </w:numPr>
        <w:spacing w:line="240" w:lineRule="auto"/>
        <w:rPr>
          <w:rFonts w:ascii="Times New Roman" w:hAnsi="Times New Roman" w:cs="Times New Roman"/>
          <w:szCs w:val="24"/>
        </w:rPr>
      </w:pPr>
      <w:bookmarkStart w:id="13" w:name="_Toc259675645"/>
      <w:r>
        <w:rPr>
          <w:rFonts w:hint="default" w:ascii="Times New Roman" w:hAnsi="Times New Roman" w:cs="Times New Roman"/>
          <w:szCs w:val="24"/>
          <w:lang w:val="en-US"/>
        </w:rPr>
        <w:t xml:space="preserve">  </w:t>
      </w:r>
      <w:r>
        <w:rPr>
          <w:rFonts w:ascii="Times New Roman" w:hAnsi="Times New Roman" w:cs="Times New Roman"/>
          <w:szCs w:val="24"/>
        </w:rPr>
        <w:t xml:space="preserve"> RECOMMENDATIONS</w:t>
      </w:r>
      <w:bookmarkEnd w:id="13"/>
    </w:p>
    <w:p w14:paraId="22B0B561">
      <w:pPr>
        <w:rPr>
          <w:rFonts w:ascii="Times New Roman" w:hAnsi="Times New Roman" w:cs="Times New Roman"/>
          <w:sz w:val="24"/>
          <w:szCs w:val="24"/>
        </w:rPr>
      </w:pPr>
      <w:r>
        <w:rPr>
          <w:rFonts w:ascii="Times New Roman" w:hAnsi="Times New Roman" w:cs="Times New Roman"/>
          <w:sz w:val="24"/>
          <w:szCs w:val="24"/>
        </w:rPr>
        <w:t>Based on the findings of this study, the following recommendations were made:</w:t>
      </w:r>
    </w:p>
    <w:p w14:paraId="77FEDBE6">
      <w:pPr>
        <w:pStyle w:val="12"/>
        <w:ind w:left="360"/>
        <w:jc w:val="both"/>
      </w:pPr>
      <w:r>
        <w:t xml:space="preserve">Implement erosion control measures, such as vegetative buffer strips and erosion-resistant materials, along vulnerable riverbanks to mitigate the impact of sediment transport and stabilize channel morphology. Introduce sustainable land use practices, including reforestation and soil conservation techniques, to reduce erosion rates and preserve soil integrity within the catchment area. Conduct regular monitoring and assessment of channel morphology and erosion dynamics to identify evolving trends and prioritize targeted interventions in erosion-prone areas. Foster community engagement and awareness campaigns to promote responsible land management practices and minimize anthropogenic contributions to erosion within the catchment. Enhance collaboration among stakeholders, including government agencies, local communities, and environmental organizations, to develop integrated watershed management plans aimed at mitigating erosion and preserving water quality. And Invest in research and innovation to explore alternative erosion control methods, such as bioengineering solutions and sustainable riverbank stabilization techniques, to complement traditional approaches and enhance long-term erosion management strategies. </w:t>
      </w:r>
      <w:r>
        <w:rPr>
          <w:b/>
          <w:bCs/>
        </w:rPr>
        <w:br w:type="page"/>
      </w:r>
    </w:p>
    <w:p w14:paraId="5303E609">
      <w:pPr>
        <w:pStyle w:val="12"/>
        <w:jc w:val="both"/>
        <w:rPr>
          <w:b/>
        </w:rPr>
      </w:pPr>
      <w:r>
        <w:rPr>
          <w:b/>
        </w:rPr>
        <w:t>REFERENCES</w:t>
      </w:r>
      <w:bookmarkEnd w:id="11"/>
    </w:p>
    <w:p w14:paraId="1C0DE009">
      <w:pPr>
        <w:spacing w:line="240" w:lineRule="auto"/>
        <w:rPr>
          <w:rFonts w:ascii="Times New Roman" w:hAnsi="Times New Roman" w:cs="Times New Roman"/>
          <w:sz w:val="24"/>
          <w:szCs w:val="24"/>
        </w:rPr>
      </w:pPr>
      <w:r>
        <w:rPr>
          <w:rFonts w:ascii="Times New Roman" w:hAnsi="Times New Roman" w:cs="Times New Roman"/>
          <w:sz w:val="24"/>
          <w:szCs w:val="24"/>
        </w:rPr>
        <w:t>Ahmad, A., &amp; Wanah, B. B. (2023). Groundwater occurrence in the Gombe Sandstone and Keri-</w:t>
      </w:r>
      <w:r>
        <w:rPr>
          <w:rFonts w:hint="default" w:ascii="Times New Roman" w:hAnsi="Times New Roman" w:cs="Times New Roman"/>
          <w:sz w:val="24"/>
          <w:szCs w:val="24"/>
          <w:lang w:val="en-US"/>
        </w:rPr>
        <w:tab/>
      </w:r>
      <w:r>
        <w:rPr>
          <w:rFonts w:ascii="Times New Roman" w:hAnsi="Times New Roman" w:cs="Times New Roman"/>
          <w:sz w:val="24"/>
          <w:szCs w:val="24"/>
        </w:rPr>
        <w:t xml:space="preserve">Keri Formation, northeastern Nigeria. </w:t>
      </w:r>
      <w:r>
        <w:rPr>
          <w:rFonts w:ascii="Times New Roman" w:hAnsi="Times New Roman" w:cs="Times New Roman"/>
          <w:i/>
          <w:sz w:val="24"/>
          <w:szCs w:val="24"/>
        </w:rPr>
        <w:t>Journal of Environmental Hydrology,</w:t>
      </w:r>
      <w:r>
        <w:rPr>
          <w:rFonts w:ascii="Times New Roman" w:hAnsi="Times New Roman" w:cs="Times New Roman"/>
          <w:sz w:val="24"/>
          <w:szCs w:val="24"/>
        </w:rPr>
        <w:t xml:space="preserve"> 31(2), 45–59.</w:t>
      </w:r>
    </w:p>
    <w:p w14:paraId="7355FD20">
      <w:pPr>
        <w:spacing w:line="240" w:lineRule="auto"/>
        <w:rPr>
          <w:rFonts w:ascii="Times New Roman" w:hAnsi="Times New Roman" w:cs="Times New Roman"/>
          <w:sz w:val="24"/>
          <w:szCs w:val="24"/>
        </w:rPr>
      </w:pPr>
      <w:r>
        <w:rPr>
          <w:rFonts w:ascii="Times New Roman" w:hAnsi="Times New Roman" w:cs="Times New Roman"/>
          <w:sz w:val="24"/>
          <w:szCs w:val="24"/>
        </w:rPr>
        <w:t xml:space="preserve">Alabyan, A. M., &amp; Chalov, R. S. (1998). Types of river channel patterns and their natural </w:t>
      </w:r>
      <w:r>
        <w:rPr>
          <w:rFonts w:hint="default" w:ascii="Times New Roman" w:hAnsi="Times New Roman" w:cs="Times New Roman"/>
          <w:sz w:val="24"/>
          <w:szCs w:val="24"/>
          <w:lang w:val="en-US"/>
        </w:rPr>
        <w:tab/>
      </w:r>
      <w:r>
        <w:rPr>
          <w:rFonts w:ascii="Times New Roman" w:hAnsi="Times New Roman" w:cs="Times New Roman"/>
          <w:sz w:val="24"/>
          <w:szCs w:val="24"/>
        </w:rPr>
        <w:t xml:space="preserve">controls. Earth Surface Processes and Landforms, 23(5), 467–474. </w:t>
      </w:r>
      <w:r>
        <w:rPr>
          <w:rFonts w:hint="default" w:ascii="Times New Roman" w:hAnsi="Times New Roman" w:cs="Times New Roman"/>
          <w:sz w:val="24"/>
          <w:szCs w:val="24"/>
          <w:lang w:val="en-US"/>
        </w:rPr>
        <w:tab/>
      </w:r>
      <w:r>
        <w:rPr>
          <w:rFonts w:ascii="Times New Roman" w:hAnsi="Times New Roman" w:cs="Times New Roman"/>
          <w:sz w:val="24"/>
          <w:szCs w:val="24"/>
        </w:rPr>
        <w:t>https://doi.org/10.1002/(SICI)1096-9837(199805)23:5&lt;467::AID-ESP861&gt;3.0.CO;2-O</w:t>
      </w:r>
    </w:p>
    <w:p w14:paraId="5D030E58">
      <w:pPr>
        <w:spacing w:line="240" w:lineRule="auto"/>
        <w:rPr>
          <w:rFonts w:ascii="Times New Roman" w:hAnsi="Times New Roman" w:cs="Times New Roman"/>
          <w:sz w:val="24"/>
          <w:szCs w:val="24"/>
        </w:rPr>
      </w:pPr>
      <w:r>
        <w:rPr>
          <w:rFonts w:ascii="Times New Roman" w:hAnsi="Times New Roman" w:cs="Times New Roman"/>
          <w:sz w:val="24"/>
          <w:szCs w:val="24"/>
        </w:rPr>
        <w:t>Benkhelil, J., Guiraud, M., Ponsard, J. F., &amp; Saugy, L. (1989). T</w:t>
      </w:r>
      <w:r>
        <w:rPr>
          <w:rFonts w:ascii="Times New Roman" w:hAnsi="Times New Roman" w:cs="Times New Roman"/>
          <w:i/>
          <w:iCs/>
          <w:sz w:val="24"/>
          <w:szCs w:val="24"/>
        </w:rPr>
        <w:t xml:space="preserve">he Bornu–Benue Trough, the </w:t>
      </w:r>
      <w:r>
        <w:rPr>
          <w:rFonts w:hint="default" w:ascii="Times New Roman" w:hAnsi="Times New Roman" w:cs="Times New Roman"/>
          <w:i/>
          <w:iCs/>
          <w:sz w:val="24"/>
          <w:szCs w:val="24"/>
          <w:lang w:val="en-US"/>
        </w:rPr>
        <w:tab/>
      </w:r>
      <w:r>
        <w:rPr>
          <w:rFonts w:ascii="Times New Roman" w:hAnsi="Times New Roman" w:cs="Times New Roman"/>
          <w:i/>
          <w:iCs/>
          <w:sz w:val="24"/>
          <w:szCs w:val="24"/>
        </w:rPr>
        <w:t xml:space="preserve">Niger Delta and its offshore: Tectono-sedimentary reconstruction during the Cretaceous </w:t>
      </w:r>
      <w:r>
        <w:rPr>
          <w:rFonts w:hint="default" w:ascii="Times New Roman" w:hAnsi="Times New Roman" w:cs="Times New Roman"/>
          <w:i/>
          <w:iCs/>
          <w:sz w:val="24"/>
          <w:szCs w:val="24"/>
          <w:lang w:val="en-US"/>
        </w:rPr>
        <w:tab/>
      </w:r>
      <w:r>
        <w:rPr>
          <w:rFonts w:ascii="Times New Roman" w:hAnsi="Times New Roman" w:cs="Times New Roman"/>
          <w:i/>
          <w:iCs/>
          <w:sz w:val="24"/>
          <w:szCs w:val="24"/>
        </w:rPr>
        <w:t>and Tertiary</w:t>
      </w:r>
      <w:r>
        <w:rPr>
          <w:rFonts w:ascii="Times New Roman" w:hAnsi="Times New Roman" w:cs="Times New Roman"/>
          <w:sz w:val="24"/>
          <w:szCs w:val="24"/>
        </w:rPr>
        <w:t xml:space="preserve">. In C. A. Kogbe (Ed.), Geology of Nigeria (pp. 278–319). Rock View </w:t>
      </w:r>
      <w:r>
        <w:rPr>
          <w:rFonts w:hint="default" w:ascii="Times New Roman" w:hAnsi="Times New Roman" w:cs="Times New Roman"/>
          <w:sz w:val="24"/>
          <w:szCs w:val="24"/>
          <w:lang w:val="en-US"/>
        </w:rPr>
        <w:tab/>
      </w:r>
      <w:r>
        <w:rPr>
          <w:rFonts w:ascii="Times New Roman" w:hAnsi="Times New Roman" w:cs="Times New Roman"/>
          <w:sz w:val="24"/>
          <w:szCs w:val="24"/>
        </w:rPr>
        <w:t>Nigeria Limited.</w:t>
      </w:r>
    </w:p>
    <w:p w14:paraId="27D980A1">
      <w:pPr>
        <w:spacing w:line="240" w:lineRule="auto"/>
        <w:rPr>
          <w:rFonts w:ascii="Times New Roman" w:hAnsi="Times New Roman" w:cs="Times New Roman"/>
          <w:sz w:val="24"/>
          <w:szCs w:val="24"/>
        </w:rPr>
      </w:pPr>
      <w:r>
        <w:rPr>
          <w:rFonts w:ascii="Times New Roman" w:hAnsi="Times New Roman" w:cs="Times New Roman"/>
          <w:sz w:val="24"/>
          <w:szCs w:val="24"/>
        </w:rPr>
        <w:t xml:space="preserve">Chen, J., Gong, P., He, C., Pu, R., &amp; Shi, P. (2003). Land-use/land-cover change detection using </w:t>
      </w:r>
      <w:r>
        <w:rPr>
          <w:rFonts w:hint="default" w:ascii="Times New Roman" w:hAnsi="Times New Roman" w:cs="Times New Roman"/>
          <w:sz w:val="24"/>
          <w:szCs w:val="24"/>
          <w:lang w:val="en-US"/>
        </w:rPr>
        <w:tab/>
      </w:r>
      <w:r>
        <w:rPr>
          <w:rFonts w:ascii="Times New Roman" w:hAnsi="Times New Roman" w:cs="Times New Roman"/>
          <w:sz w:val="24"/>
          <w:szCs w:val="24"/>
        </w:rPr>
        <w:t xml:space="preserve">improved change-vector analysis. </w:t>
      </w:r>
      <w:r>
        <w:rPr>
          <w:rFonts w:ascii="Times New Roman" w:hAnsi="Times New Roman" w:cs="Times New Roman"/>
          <w:i/>
          <w:sz w:val="24"/>
          <w:szCs w:val="24"/>
        </w:rPr>
        <w:t>Photogrammetric Engineering &amp; Remote Sensing</w:t>
      </w:r>
      <w:r>
        <w:rPr>
          <w:rFonts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ascii="Times New Roman" w:hAnsi="Times New Roman" w:cs="Times New Roman"/>
          <w:sz w:val="24"/>
          <w:szCs w:val="24"/>
        </w:rPr>
        <w:t>69(4), 369–379.</w:t>
      </w:r>
    </w:p>
    <w:p w14:paraId="49780393">
      <w:pPr>
        <w:spacing w:line="240" w:lineRule="auto"/>
        <w:rPr>
          <w:rFonts w:ascii="Times New Roman" w:hAnsi="Times New Roman" w:cs="Times New Roman"/>
          <w:i/>
          <w:sz w:val="24"/>
          <w:szCs w:val="24"/>
        </w:rPr>
      </w:pPr>
      <w:r>
        <w:rPr>
          <w:rFonts w:ascii="Times New Roman" w:hAnsi="Times New Roman" w:cs="Times New Roman"/>
          <w:sz w:val="24"/>
          <w:szCs w:val="24"/>
        </w:rPr>
        <w:t xml:space="preserve">De Blij, H. J., Muller, P. O., Williams, R. S., Conrad, C. T., &amp; Long, P. (2005). </w:t>
      </w:r>
      <w:r>
        <w:rPr>
          <w:rFonts w:ascii="Times New Roman" w:hAnsi="Times New Roman" w:cs="Times New Roman"/>
          <w:i/>
          <w:sz w:val="24"/>
          <w:szCs w:val="24"/>
        </w:rPr>
        <w:t xml:space="preserve">Physical </w:t>
      </w:r>
      <w:r>
        <w:rPr>
          <w:rFonts w:hint="default" w:ascii="Times New Roman" w:hAnsi="Times New Roman" w:cs="Times New Roman"/>
          <w:i/>
          <w:sz w:val="24"/>
          <w:szCs w:val="24"/>
          <w:lang w:val="en-US"/>
        </w:rPr>
        <w:tab/>
      </w:r>
      <w:r>
        <w:rPr>
          <w:rFonts w:ascii="Times New Roman" w:hAnsi="Times New Roman" w:cs="Times New Roman"/>
          <w:i/>
          <w:sz w:val="24"/>
          <w:szCs w:val="24"/>
        </w:rPr>
        <w:t>geography: The global environment (Canadian ed.). Oxford University Press.</w:t>
      </w:r>
    </w:p>
    <w:p w14:paraId="0DAB1FA1">
      <w:pPr>
        <w:spacing w:line="240" w:lineRule="auto"/>
        <w:rPr>
          <w:rFonts w:ascii="Times New Roman" w:hAnsi="Times New Roman" w:cs="Times New Roman"/>
          <w:i/>
          <w:sz w:val="24"/>
          <w:szCs w:val="24"/>
        </w:rPr>
      </w:pPr>
      <w:r>
        <w:rPr>
          <w:rFonts w:ascii="Times New Roman" w:hAnsi="Times New Roman" w:cs="Times New Roman"/>
          <w:sz w:val="24"/>
          <w:szCs w:val="24"/>
        </w:rPr>
        <w:t xml:space="preserve">Faniran, A., &amp; Jeje, L. K. (2002). Humid tropical geomorphology. </w:t>
      </w:r>
      <w:r>
        <w:rPr>
          <w:rFonts w:ascii="Times New Roman" w:hAnsi="Times New Roman" w:cs="Times New Roman"/>
          <w:i/>
          <w:sz w:val="24"/>
          <w:szCs w:val="24"/>
        </w:rPr>
        <w:t xml:space="preserve">Heinemann Educational </w:t>
      </w:r>
      <w:r>
        <w:rPr>
          <w:rFonts w:hint="default" w:ascii="Times New Roman" w:hAnsi="Times New Roman" w:cs="Times New Roman"/>
          <w:i/>
          <w:sz w:val="24"/>
          <w:szCs w:val="24"/>
          <w:lang w:val="en-US"/>
        </w:rPr>
        <w:tab/>
      </w:r>
      <w:r>
        <w:rPr>
          <w:rFonts w:ascii="Times New Roman" w:hAnsi="Times New Roman" w:cs="Times New Roman"/>
          <w:i/>
          <w:sz w:val="24"/>
          <w:szCs w:val="24"/>
        </w:rPr>
        <w:t>Books.</w:t>
      </w:r>
    </w:p>
    <w:p w14:paraId="7934ACD6">
      <w:pPr>
        <w:spacing w:line="240" w:lineRule="auto"/>
        <w:rPr>
          <w:rFonts w:ascii="Times New Roman" w:hAnsi="Times New Roman" w:cs="Times New Roman"/>
          <w:sz w:val="24"/>
          <w:szCs w:val="24"/>
        </w:rPr>
      </w:pPr>
      <w:r>
        <w:rPr>
          <w:rFonts w:ascii="Times New Roman" w:hAnsi="Times New Roman" w:cs="Times New Roman"/>
          <w:sz w:val="24"/>
          <w:szCs w:val="24"/>
        </w:rPr>
        <w:t xml:space="preserve">Ghosh, D., &amp; Sahu, A. S. (2019). Bank line migration and its impact on land use and land cover </w:t>
      </w:r>
      <w:r>
        <w:rPr>
          <w:rFonts w:hint="default" w:ascii="Times New Roman" w:hAnsi="Times New Roman" w:cs="Times New Roman"/>
          <w:sz w:val="24"/>
          <w:szCs w:val="24"/>
          <w:lang w:val="en-US"/>
        </w:rPr>
        <w:tab/>
      </w:r>
      <w:r>
        <w:rPr>
          <w:rFonts w:ascii="Times New Roman" w:hAnsi="Times New Roman" w:cs="Times New Roman"/>
          <w:sz w:val="24"/>
          <w:szCs w:val="24"/>
        </w:rPr>
        <w:t xml:space="preserve">change in dynamic river systems. </w:t>
      </w:r>
      <w:r>
        <w:rPr>
          <w:rFonts w:ascii="Times New Roman" w:hAnsi="Times New Roman" w:cs="Times New Roman"/>
          <w:i/>
          <w:sz w:val="24"/>
          <w:szCs w:val="24"/>
        </w:rPr>
        <w:t>Journal of the Indian Society of Remote Sensing,</w:t>
      </w:r>
      <w:r>
        <w:rPr>
          <w:rFonts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ascii="Times New Roman" w:hAnsi="Times New Roman" w:cs="Times New Roman"/>
          <w:sz w:val="24"/>
          <w:szCs w:val="24"/>
        </w:rPr>
        <w:t>47(12), 1969–1988. https://doi.org/10.1007/s12524-019-01058-4</w:t>
      </w:r>
    </w:p>
    <w:p w14:paraId="12B4E934">
      <w:pPr>
        <w:spacing w:line="240" w:lineRule="auto"/>
        <w:rPr>
          <w:rFonts w:ascii="Times New Roman" w:hAnsi="Times New Roman" w:cs="Times New Roman"/>
          <w:sz w:val="24"/>
          <w:szCs w:val="24"/>
        </w:rPr>
      </w:pPr>
      <w:r>
        <w:rPr>
          <w:rFonts w:ascii="Times New Roman" w:hAnsi="Times New Roman" w:cs="Times New Roman"/>
          <w:sz w:val="24"/>
          <w:szCs w:val="24"/>
        </w:rPr>
        <w:t xml:space="preserve">Jackson, A. (2015). </w:t>
      </w:r>
      <w:r>
        <w:rPr>
          <w:rFonts w:ascii="Times New Roman" w:hAnsi="Times New Roman" w:cs="Times New Roman"/>
          <w:i/>
          <w:sz w:val="24"/>
          <w:szCs w:val="24"/>
        </w:rPr>
        <w:t>Changing long and cross profiles along a river. Cool Geography</w:t>
      </w:r>
      <w:r>
        <w:rPr>
          <w:rFonts w:ascii="Times New Roman" w:hAnsi="Times New Roman" w:cs="Times New Roman"/>
          <w:sz w:val="24"/>
          <w:szCs w:val="24"/>
        </w:rPr>
        <w:t xml:space="preserve">. Retrieved </w:t>
      </w:r>
      <w:r>
        <w:rPr>
          <w:rFonts w:hint="default" w:ascii="Times New Roman" w:hAnsi="Times New Roman" w:cs="Times New Roman"/>
          <w:sz w:val="24"/>
          <w:szCs w:val="24"/>
          <w:lang w:val="en-US"/>
        </w:rPr>
        <w:tab/>
      </w:r>
      <w:r>
        <w:rPr>
          <w:rFonts w:ascii="Times New Roman" w:hAnsi="Times New Roman" w:cs="Times New Roman"/>
          <w:sz w:val="24"/>
          <w:szCs w:val="24"/>
        </w:rPr>
        <w:t>from https://www.coolgeography.co.uk</w:t>
      </w:r>
    </w:p>
    <w:p w14:paraId="61F9E993">
      <w:pPr>
        <w:spacing w:line="240" w:lineRule="auto"/>
        <w:rPr>
          <w:rFonts w:ascii="Times New Roman" w:hAnsi="Times New Roman" w:cs="Times New Roman"/>
          <w:sz w:val="24"/>
          <w:szCs w:val="24"/>
        </w:rPr>
      </w:pPr>
      <w:r>
        <w:rPr>
          <w:rFonts w:ascii="Times New Roman" w:hAnsi="Times New Roman" w:cs="Times New Roman"/>
          <w:sz w:val="24"/>
          <w:szCs w:val="24"/>
        </w:rPr>
        <w:t xml:space="preserve">Mbaya, L. A. (2012). </w:t>
      </w:r>
      <w:r>
        <w:rPr>
          <w:rFonts w:ascii="Times New Roman" w:hAnsi="Times New Roman" w:cs="Times New Roman"/>
          <w:i/>
          <w:iCs/>
          <w:sz w:val="24"/>
          <w:szCs w:val="24"/>
        </w:rPr>
        <w:t>An assessment of gully erosion in Gombe Town, Gombe State, Nigeri</w:t>
      </w:r>
      <w:r>
        <w:rPr>
          <w:rFonts w:ascii="Times New Roman" w:hAnsi="Times New Roman" w:cs="Times New Roman"/>
          <w:sz w:val="24"/>
          <w:szCs w:val="24"/>
        </w:rPr>
        <w:t xml:space="preserve">a </w:t>
      </w:r>
      <w:r>
        <w:rPr>
          <w:rFonts w:hint="default" w:ascii="Times New Roman" w:hAnsi="Times New Roman" w:cs="Times New Roman"/>
          <w:sz w:val="24"/>
          <w:szCs w:val="24"/>
          <w:lang w:val="en-US"/>
        </w:rPr>
        <w:tab/>
      </w:r>
      <w:r>
        <w:rPr>
          <w:rFonts w:ascii="Times New Roman" w:hAnsi="Times New Roman" w:cs="Times New Roman"/>
          <w:sz w:val="24"/>
          <w:szCs w:val="24"/>
        </w:rPr>
        <w:t>(Doctoral thesis, University of Maiduguri, Nigeria).</w:t>
      </w:r>
    </w:p>
    <w:p w14:paraId="0ED2EB55">
      <w:pPr>
        <w:spacing w:line="240" w:lineRule="auto"/>
        <w:rPr>
          <w:rFonts w:ascii="Times New Roman" w:hAnsi="Times New Roman" w:cs="Times New Roman"/>
          <w:sz w:val="24"/>
          <w:szCs w:val="24"/>
        </w:rPr>
      </w:pPr>
      <w:r>
        <w:rPr>
          <w:rFonts w:ascii="Times New Roman" w:hAnsi="Times New Roman" w:cs="Times New Roman"/>
          <w:sz w:val="24"/>
          <w:szCs w:val="24"/>
        </w:rPr>
        <w:t xml:space="preserve">Mejia, A. I., &amp; Reed, S. M. (2011). </w:t>
      </w:r>
      <w:r>
        <w:rPr>
          <w:rFonts w:ascii="Times New Roman" w:hAnsi="Times New Roman" w:cs="Times New Roman"/>
          <w:i/>
          <w:iCs/>
          <w:sz w:val="24"/>
          <w:szCs w:val="24"/>
        </w:rPr>
        <w:t xml:space="preserve">Role of channel and floodplain cross-section geometry in </w:t>
      </w:r>
      <w:r>
        <w:rPr>
          <w:rFonts w:hint="default" w:ascii="Times New Roman" w:hAnsi="Times New Roman" w:cs="Times New Roman"/>
          <w:i/>
          <w:iCs/>
          <w:sz w:val="24"/>
          <w:szCs w:val="24"/>
          <w:lang w:val="en-US"/>
        </w:rPr>
        <w:tab/>
      </w:r>
      <w:r>
        <w:rPr>
          <w:rFonts w:ascii="Times New Roman" w:hAnsi="Times New Roman" w:cs="Times New Roman"/>
          <w:i/>
          <w:iCs/>
          <w:sz w:val="24"/>
          <w:szCs w:val="24"/>
        </w:rPr>
        <w:t>basin response</w:t>
      </w:r>
      <w:r>
        <w:rPr>
          <w:rFonts w:ascii="Times New Roman" w:hAnsi="Times New Roman" w:cs="Times New Roman"/>
          <w:sz w:val="24"/>
          <w:szCs w:val="24"/>
        </w:rPr>
        <w:t xml:space="preserve">. </w:t>
      </w:r>
      <w:r>
        <w:rPr>
          <w:rFonts w:ascii="Times New Roman" w:hAnsi="Times New Roman" w:cs="Times New Roman"/>
          <w:i/>
          <w:sz w:val="24"/>
          <w:szCs w:val="24"/>
        </w:rPr>
        <w:t>Water Resources Research, 47(9), W09506.</w:t>
      </w:r>
      <w:r>
        <w:rPr>
          <w:rFonts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ascii="Times New Roman" w:hAnsi="Times New Roman" w:cs="Times New Roman"/>
          <w:sz w:val="24"/>
          <w:szCs w:val="24"/>
        </w:rPr>
        <w:t>https://doi.org/10.1029/2010WR009825</w:t>
      </w:r>
    </w:p>
    <w:p w14:paraId="4EDEE970">
      <w:pPr>
        <w:spacing w:line="240" w:lineRule="auto"/>
        <w:rPr>
          <w:rFonts w:ascii="Times New Roman" w:hAnsi="Times New Roman" w:cs="Times New Roman"/>
          <w:sz w:val="24"/>
          <w:szCs w:val="24"/>
        </w:rPr>
      </w:pPr>
      <w:r>
        <w:rPr>
          <w:rFonts w:ascii="Times New Roman" w:hAnsi="Times New Roman" w:cs="Times New Roman"/>
          <w:sz w:val="24"/>
          <w:szCs w:val="24"/>
        </w:rPr>
        <w:t xml:space="preserve">Oyegoke, S. O., &amp; Ifeadi, C. (2007). Relationship between drainage basin area and stream length </w:t>
      </w:r>
      <w:r>
        <w:rPr>
          <w:rFonts w:hint="default" w:ascii="Times New Roman" w:hAnsi="Times New Roman" w:cs="Times New Roman"/>
          <w:sz w:val="24"/>
          <w:szCs w:val="24"/>
          <w:lang w:val="en-US"/>
        </w:rPr>
        <w:tab/>
      </w:r>
      <w:r>
        <w:rPr>
          <w:rFonts w:ascii="Times New Roman" w:hAnsi="Times New Roman" w:cs="Times New Roman"/>
          <w:sz w:val="24"/>
          <w:szCs w:val="24"/>
        </w:rPr>
        <w:t xml:space="preserve">for River Gongola, Nigeria. </w:t>
      </w:r>
      <w:r>
        <w:rPr>
          <w:rFonts w:ascii="Times New Roman" w:hAnsi="Times New Roman" w:cs="Times New Roman"/>
          <w:i/>
          <w:sz w:val="24"/>
          <w:szCs w:val="24"/>
        </w:rPr>
        <w:t>The Pacific Journal of Science and Technology, 8(2), 184–</w:t>
      </w:r>
      <w:r>
        <w:rPr>
          <w:rFonts w:hint="default" w:ascii="Times New Roman" w:hAnsi="Times New Roman" w:cs="Times New Roman"/>
          <w:i/>
          <w:sz w:val="24"/>
          <w:szCs w:val="24"/>
          <w:lang w:val="en-US"/>
        </w:rPr>
        <w:tab/>
      </w:r>
      <w:r>
        <w:rPr>
          <w:rFonts w:ascii="Times New Roman" w:hAnsi="Times New Roman" w:cs="Times New Roman"/>
          <w:i/>
          <w:sz w:val="24"/>
          <w:szCs w:val="24"/>
        </w:rPr>
        <w:t>189</w:t>
      </w:r>
      <w:r>
        <w:rPr>
          <w:rFonts w:ascii="Times New Roman" w:hAnsi="Times New Roman" w:cs="Times New Roman"/>
          <w:sz w:val="24"/>
          <w:szCs w:val="24"/>
        </w:rPr>
        <w:t>.</w:t>
      </w:r>
    </w:p>
    <w:p w14:paraId="3F11BB07">
      <w:pPr>
        <w:spacing w:line="240" w:lineRule="auto"/>
        <w:rPr>
          <w:rFonts w:ascii="Times New Roman" w:hAnsi="Times New Roman" w:cs="Times New Roman"/>
          <w:sz w:val="24"/>
          <w:szCs w:val="24"/>
        </w:rPr>
      </w:pPr>
      <w:r>
        <w:rPr>
          <w:rFonts w:ascii="Times New Roman" w:hAnsi="Times New Roman" w:cs="Times New Roman"/>
          <w:sz w:val="24"/>
          <w:szCs w:val="24"/>
        </w:rPr>
        <w:t xml:space="preserve">Rudra, K. (2010). Dynamics of the Ganga in West Bengal (1764–2007). </w:t>
      </w:r>
      <w:r>
        <w:rPr>
          <w:rFonts w:ascii="Times New Roman" w:hAnsi="Times New Roman" w:cs="Times New Roman"/>
          <w:i/>
          <w:iCs/>
          <w:sz w:val="24"/>
          <w:szCs w:val="24"/>
        </w:rPr>
        <w:t xml:space="preserve">Quaternary </w:t>
      </w:r>
      <w:r>
        <w:rPr>
          <w:rFonts w:hint="default" w:ascii="Times New Roman" w:hAnsi="Times New Roman" w:cs="Times New Roman"/>
          <w:i/>
          <w:iCs/>
          <w:sz w:val="24"/>
          <w:szCs w:val="24"/>
          <w:lang w:val="en-US"/>
        </w:rPr>
        <w:tab/>
      </w:r>
      <w:r>
        <w:rPr>
          <w:rFonts w:ascii="Times New Roman" w:hAnsi="Times New Roman" w:cs="Times New Roman"/>
          <w:i/>
          <w:iCs/>
          <w:sz w:val="24"/>
          <w:szCs w:val="24"/>
        </w:rPr>
        <w:t xml:space="preserve">International, </w:t>
      </w:r>
      <w:r>
        <w:rPr>
          <w:rFonts w:ascii="Times New Roman" w:hAnsi="Times New Roman" w:cs="Times New Roman"/>
          <w:sz w:val="24"/>
          <w:szCs w:val="24"/>
        </w:rPr>
        <w:t>227(2), 161–169. https://doi.org/10.1016/j.quaint.2009.11.016</w:t>
      </w:r>
    </w:p>
    <w:p w14:paraId="10548707">
      <w:pPr>
        <w:spacing w:line="240" w:lineRule="auto"/>
        <w:rPr>
          <w:rFonts w:ascii="Times New Roman" w:hAnsi="Times New Roman" w:cs="Times New Roman"/>
          <w:sz w:val="24"/>
          <w:szCs w:val="24"/>
        </w:rPr>
      </w:pPr>
      <w:r>
        <w:rPr>
          <w:rFonts w:ascii="Times New Roman" w:hAnsi="Times New Roman" w:cs="Times New Roman"/>
          <w:sz w:val="24"/>
          <w:szCs w:val="24"/>
        </w:rPr>
        <w:t>Tiwari, P. C. (2000).</w:t>
      </w:r>
      <w:r>
        <w:rPr>
          <w:rFonts w:ascii="Times New Roman" w:hAnsi="Times New Roman" w:cs="Times New Roman"/>
          <w:i/>
          <w:iCs/>
          <w:sz w:val="24"/>
          <w:szCs w:val="24"/>
        </w:rPr>
        <w:t xml:space="preserve"> Land-use changes in Himalaya and their impact on the plains ecosystem: </w:t>
      </w:r>
      <w:r>
        <w:rPr>
          <w:rFonts w:hint="default" w:ascii="Times New Roman" w:hAnsi="Times New Roman" w:cs="Times New Roman"/>
          <w:i/>
          <w:iCs/>
          <w:sz w:val="24"/>
          <w:szCs w:val="24"/>
          <w:lang w:val="en-US"/>
        </w:rPr>
        <w:tab/>
      </w:r>
      <w:r>
        <w:rPr>
          <w:rFonts w:ascii="Times New Roman" w:hAnsi="Times New Roman" w:cs="Times New Roman"/>
          <w:i/>
          <w:iCs/>
          <w:sz w:val="24"/>
          <w:szCs w:val="24"/>
        </w:rPr>
        <w:t>Need for sustainable land use. Land Use Policy</w:t>
      </w:r>
      <w:r>
        <w:rPr>
          <w:rFonts w:ascii="Times New Roman" w:hAnsi="Times New Roman" w:cs="Times New Roman"/>
          <w:sz w:val="24"/>
          <w:szCs w:val="24"/>
        </w:rPr>
        <w:t xml:space="preserve">, 17(2), 101–111. </w:t>
      </w:r>
      <w:r>
        <w:rPr>
          <w:rFonts w:hint="default" w:ascii="Times New Roman" w:hAnsi="Times New Roman" w:cs="Times New Roman"/>
          <w:sz w:val="24"/>
          <w:szCs w:val="24"/>
          <w:lang w:val="en-US"/>
        </w:rPr>
        <w:tab/>
      </w:r>
      <w:r>
        <w:rPr>
          <w:rFonts w:ascii="Times New Roman" w:hAnsi="Times New Roman" w:cs="Times New Roman"/>
          <w:sz w:val="24"/>
          <w:szCs w:val="24"/>
        </w:rPr>
        <w:t>https://doi.org/10.1016/S0264-8377(00)00002-8</w:t>
      </w:r>
    </w:p>
    <w:p w14:paraId="3B1E73A5">
      <w:pPr>
        <w:spacing w:line="240" w:lineRule="auto"/>
        <w:rPr>
          <w:rFonts w:ascii="Times New Roman" w:hAnsi="Times New Roman" w:cs="Times New Roman"/>
          <w:sz w:val="24"/>
          <w:szCs w:val="24"/>
        </w:rPr>
      </w:pPr>
      <w:r>
        <w:rPr>
          <w:rFonts w:ascii="Times New Roman" w:hAnsi="Times New Roman" w:cs="Times New Roman"/>
          <w:sz w:val="24"/>
          <w:szCs w:val="24"/>
        </w:rPr>
        <w:t xml:space="preserve">Wanah, B. B. (2017). </w:t>
      </w:r>
      <w:r>
        <w:rPr>
          <w:rFonts w:ascii="Times New Roman" w:hAnsi="Times New Roman" w:cs="Times New Roman"/>
          <w:i/>
          <w:sz w:val="24"/>
          <w:szCs w:val="24"/>
        </w:rPr>
        <w:t xml:space="preserve">Analysis of morphometric properties and sediment discharge of Bagadaza </w:t>
      </w:r>
      <w:r>
        <w:rPr>
          <w:rFonts w:hint="default" w:ascii="Times New Roman" w:hAnsi="Times New Roman" w:cs="Times New Roman"/>
          <w:i/>
          <w:sz w:val="24"/>
          <w:szCs w:val="24"/>
          <w:lang w:val="en-US"/>
        </w:rPr>
        <w:tab/>
      </w:r>
      <w:r>
        <w:rPr>
          <w:rFonts w:ascii="Times New Roman" w:hAnsi="Times New Roman" w:cs="Times New Roman"/>
          <w:i/>
          <w:sz w:val="24"/>
          <w:szCs w:val="24"/>
        </w:rPr>
        <w:t>drainage basin, Gombe State, Nigeria</w:t>
      </w:r>
      <w:r>
        <w:rPr>
          <w:rFonts w:ascii="Times New Roman" w:hAnsi="Times New Roman" w:cs="Times New Roman"/>
          <w:sz w:val="24"/>
          <w:szCs w:val="24"/>
        </w:rPr>
        <w:t xml:space="preserve"> (Doctoral thesis, University of Maiduguri, Nigeria).</w:t>
      </w:r>
    </w:p>
    <w:p w14:paraId="5E9F37F9">
      <w:pPr>
        <w:spacing w:line="240" w:lineRule="auto"/>
        <w:rPr>
          <w:rFonts w:ascii="Times New Roman" w:hAnsi="Times New Roman" w:cs="Times New Roman"/>
          <w:i/>
          <w:sz w:val="24"/>
          <w:szCs w:val="24"/>
        </w:rPr>
      </w:pPr>
      <w:r>
        <w:rPr>
          <w:rFonts w:ascii="Times New Roman" w:hAnsi="Times New Roman" w:cs="Times New Roman"/>
          <w:sz w:val="24"/>
          <w:szCs w:val="24"/>
        </w:rPr>
        <w:t xml:space="preserve">Wanah, B. B., &amp; Abdullahi, J. (2018). Analysis of longitudinal profile of Bagadaza River in </w:t>
      </w:r>
      <w:r>
        <w:rPr>
          <w:rFonts w:hint="default" w:ascii="Times New Roman" w:hAnsi="Times New Roman" w:cs="Times New Roman"/>
          <w:sz w:val="24"/>
          <w:szCs w:val="24"/>
          <w:lang w:val="en-US"/>
        </w:rPr>
        <w:tab/>
      </w:r>
      <w:r>
        <w:rPr>
          <w:rFonts w:ascii="Times New Roman" w:hAnsi="Times New Roman" w:cs="Times New Roman"/>
          <w:sz w:val="24"/>
          <w:szCs w:val="24"/>
        </w:rPr>
        <w:t xml:space="preserve">Akko LGA, Gombe State, Nigeria. </w:t>
      </w:r>
      <w:r>
        <w:rPr>
          <w:rFonts w:ascii="Times New Roman" w:hAnsi="Times New Roman" w:cs="Times New Roman"/>
          <w:i/>
          <w:sz w:val="24"/>
          <w:szCs w:val="24"/>
        </w:rPr>
        <w:t xml:space="preserve">Journal of Environmental Sciences and Policy </w:t>
      </w:r>
      <w:r>
        <w:rPr>
          <w:rFonts w:hint="default" w:ascii="Times New Roman" w:hAnsi="Times New Roman" w:cs="Times New Roman"/>
          <w:i/>
          <w:sz w:val="24"/>
          <w:szCs w:val="24"/>
          <w:lang w:val="en-US"/>
        </w:rPr>
        <w:tab/>
      </w:r>
      <w:r>
        <w:rPr>
          <w:rFonts w:ascii="Times New Roman" w:hAnsi="Times New Roman" w:cs="Times New Roman"/>
          <w:i/>
          <w:sz w:val="24"/>
          <w:szCs w:val="24"/>
        </w:rPr>
        <w:t>Evaluation, 8(4), 1–24.</w:t>
      </w:r>
    </w:p>
    <w:p w14:paraId="0A844546">
      <w:pPr>
        <w:spacing w:line="240" w:lineRule="auto"/>
        <w:rPr>
          <w:rFonts w:ascii="Times New Roman" w:hAnsi="Times New Roman" w:cs="Times New Roman"/>
          <w:sz w:val="24"/>
          <w:szCs w:val="24"/>
        </w:rPr>
      </w:pPr>
      <w:r>
        <w:rPr>
          <w:rFonts w:ascii="Times New Roman" w:hAnsi="Times New Roman" w:cs="Times New Roman"/>
          <w:sz w:val="24"/>
          <w:szCs w:val="24"/>
        </w:rPr>
        <w:t>Waugh, D. (1990). Geography: An integrated approach. Nelson.</w:t>
      </w:r>
    </w:p>
    <w:p w14:paraId="34091C14">
      <w:pPr>
        <w:spacing w:line="240" w:lineRule="auto"/>
        <w:rPr>
          <w:rFonts w:ascii="Times New Roman" w:hAnsi="Times New Roman" w:cs="Times New Roman"/>
          <w:sz w:val="24"/>
          <w:szCs w:val="24"/>
        </w:rPr>
      </w:pPr>
      <w:r>
        <w:rPr>
          <w:rFonts w:ascii="Times New Roman" w:hAnsi="Times New Roman" w:cs="Times New Roman"/>
          <w:sz w:val="24"/>
          <w:szCs w:val="24"/>
        </w:rPr>
        <w:t xml:space="preserve">Zhang, Q., Shi, Y., &amp; Xiong, M. (2020). Geometric properties of river cross sections and </w:t>
      </w:r>
      <w:r>
        <w:rPr>
          <w:rFonts w:hint="default" w:ascii="Times New Roman" w:hAnsi="Times New Roman" w:cs="Times New Roman"/>
          <w:sz w:val="24"/>
          <w:szCs w:val="24"/>
          <w:lang w:val="en-US"/>
        </w:rPr>
        <w:tab/>
      </w:r>
      <w:r>
        <w:rPr>
          <w:rFonts w:ascii="Times New Roman" w:hAnsi="Times New Roman" w:cs="Times New Roman"/>
          <w:sz w:val="24"/>
          <w:szCs w:val="24"/>
        </w:rPr>
        <w:t xml:space="preserve">associated hydrodynamic implications in the Wuhan–Jiujiang River reach of the Yangtze </w:t>
      </w:r>
      <w:r>
        <w:rPr>
          <w:rFonts w:hint="default" w:ascii="Times New Roman" w:hAnsi="Times New Roman" w:cs="Times New Roman"/>
          <w:sz w:val="24"/>
          <w:szCs w:val="24"/>
          <w:lang w:val="en-US"/>
        </w:rPr>
        <w:tab/>
      </w:r>
      <w:r>
        <w:rPr>
          <w:rFonts w:ascii="Times New Roman" w:hAnsi="Times New Roman" w:cs="Times New Roman"/>
          <w:sz w:val="24"/>
          <w:szCs w:val="24"/>
        </w:rPr>
        <w:t xml:space="preserve">River. </w:t>
      </w:r>
      <w:r>
        <w:rPr>
          <w:rFonts w:ascii="Times New Roman" w:hAnsi="Times New Roman" w:cs="Times New Roman"/>
          <w:i/>
          <w:sz w:val="24"/>
          <w:szCs w:val="24"/>
        </w:rPr>
        <w:t>Environmental Earth Sciences, 79, 1–15</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"https://doi.org/10.1007/s12665-020-" </w:instrText>
      </w:r>
      <w:r>
        <w:rPr>
          <w:rFonts w:ascii="Times New Roman" w:hAnsi="Times New Roman" w:cs="Times New Roman"/>
          <w:sz w:val="24"/>
          <w:szCs w:val="24"/>
        </w:rPr>
        <w:fldChar w:fldCharType="separate"/>
      </w:r>
      <w:r>
        <w:rPr>
          <w:rStyle w:val="10"/>
          <w:rFonts w:ascii="Times New Roman" w:hAnsi="Times New Roman" w:cs="Times New Roman"/>
          <w:sz w:val="24"/>
          <w:szCs w:val="24"/>
        </w:rPr>
        <w:t>https://doi.org/10.1007/s12665-020-</w:t>
      </w:r>
      <w:r>
        <w:rPr>
          <w:rFonts w:ascii="Times New Roman" w:hAnsi="Times New Roman" w:cs="Times New Roman"/>
          <w:sz w:val="24"/>
          <w:szCs w:val="24"/>
        </w:rPr>
        <w:fldChar w:fldCharType="end"/>
      </w:r>
      <w:r>
        <w:rPr>
          <w:rFonts w:hint="default" w:ascii="Times New Roman" w:hAnsi="Times New Roman" w:cs="Times New Roman"/>
          <w:sz w:val="24"/>
          <w:szCs w:val="24"/>
          <w:lang w:val="en-US"/>
        </w:rPr>
        <w:tab/>
      </w:r>
      <w:r>
        <w:rPr>
          <w:rFonts w:ascii="Times New Roman" w:hAnsi="Times New Roman" w:cs="Times New Roman"/>
          <w:sz w:val="24"/>
          <w:szCs w:val="24"/>
        </w:rPr>
        <w:t>08933-</w:t>
      </w:r>
    </w:p>
    <w:p w14:paraId="2ED4CB92">
      <w:pPr>
        <w:spacing w:line="240" w:lineRule="auto"/>
        <w:jc w:val="both"/>
        <w:rPr>
          <w:rFonts w:ascii="Times New Roman" w:hAnsi="Times New Roman" w:cs="Times New Roman"/>
          <w:sz w:val="24"/>
          <w:szCs w:val="24"/>
        </w:rPr>
      </w:pPr>
    </w:p>
    <w:sectPr>
      <w:headerReference r:id="rId6" w:type="first"/>
      <w:footerReference r:id="rId8" w:type="first"/>
      <w:headerReference r:id="rId5" w:type="default"/>
      <w:footerReference r:id="rId7" w:type="default"/>
      <w:pgSz w:w="12240" w:h="15840"/>
      <w:pgMar w:top="1440" w:right="1440" w:bottom="1440" w:left="1440" w:header="720" w:footer="720" w:gutter="0"/>
      <w:pgNumType w:fmt="decimal"/>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yriadPro-Regular">
    <w:altName w:val="Yu Gothic"/>
    <w:panose1 w:val="00000000000000000000"/>
    <w:charset w:val="80"/>
    <w:family w:val="swiss"/>
    <w:pitch w:val="default"/>
    <w:sig w:usb0="00000000" w:usb1="00000000" w:usb2="00000010" w:usb3="00000000" w:csb0="00020000" w:csb1="00000000"/>
  </w:font>
  <w:font w:name="Segoe UI">
    <w:panose1 w:val="020B0502040204020203"/>
    <w:charset w:val="00"/>
    <w:family w:val="auto"/>
    <w:pitch w:val="default"/>
    <w:sig w:usb0="E4002EFF" w:usb1="C000E47F"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Microsoft YaHei">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 w:name="Calibri Light">
    <w:panose1 w:val="020F0302020204030204"/>
    <w:charset w:val="00"/>
    <w:family w:val="auto"/>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7A574">
    <w:pPr>
      <w:pStyle w:val="8"/>
      <w:jc w:val="center"/>
    </w:pPr>
    <w:r>
      <w:rPr>
        <w:rFonts w:ascii="Times New Roman" w:hAnsi="Times New Roman" w:cs="Times New Roman"/>
        <w:b w:val="0"/>
        <w:bCs/>
        <w:i/>
        <w:iCs/>
        <w:sz w:val="16"/>
        <w:szCs w:val="16"/>
      </w:rPr>
      <w:t>S</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Abdulrasheed,</w:t>
    </w:r>
    <w:r>
      <w:rPr>
        <w:rFonts w:hint="default" w:ascii="Times New Roman" w:hAnsi="Times New Roman" w:cs="Times New Roman"/>
        <w:b w:val="0"/>
        <w:bCs/>
        <w:i/>
        <w:iCs/>
        <w:sz w:val="16"/>
        <w:szCs w:val="16"/>
        <w:lang w:val="en-GB"/>
      </w:rPr>
      <w:t xml:space="preserve"> </w:t>
    </w:r>
    <w:r>
      <w:rPr>
        <w:rFonts w:ascii="Times New Roman" w:hAnsi="Times New Roman" w:cs="Times New Roman"/>
        <w:b w:val="0"/>
        <w:bCs/>
        <w:i/>
        <w:iCs/>
        <w:sz w:val="16"/>
        <w:szCs w:val="16"/>
      </w:rPr>
      <w:t>D</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Gideon,</w:t>
    </w:r>
    <w:r>
      <w:rPr>
        <w:rFonts w:hint="default" w:ascii="Times New Roman" w:hAnsi="Times New Roman" w:cs="Times New Roman"/>
        <w:b w:val="0"/>
        <w:bCs/>
        <w:i/>
        <w:iCs/>
        <w:sz w:val="16"/>
        <w:szCs w:val="16"/>
        <w:lang w:val="en-GB"/>
      </w:rPr>
      <w:t xml:space="preserve"> </w:t>
    </w:r>
    <w:r>
      <w:rPr>
        <w:rFonts w:ascii="Times New Roman" w:hAnsi="Times New Roman" w:cs="Times New Roman"/>
        <w:b w:val="0"/>
        <w:bCs/>
        <w:i/>
        <w:iCs/>
        <w:sz w:val="16"/>
        <w:szCs w:val="16"/>
      </w:rPr>
      <w:t>M</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A</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Baka  H</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Abubaka</w:t>
    </w: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D53ACE">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PX0393MAgAA&#10;IwYAAA4AAAAAAAAAAQAgAAAAHwEAAGRycy9lMm9Eb2MueG1sUEsFBgAAAAAGAAYAWQEAAF0GAAAA&#10;AA==&#10;">
              <v:fill on="f" focussize="0,0"/>
              <v:stroke on="f" weight="0.5pt"/>
              <v:imagedata o:title=""/>
              <o:lock v:ext="edit" aspectratio="f"/>
              <v:textbox inset="0mm,0mm,0mm,0mm" style="mso-fit-shape-to-text:t;">
                <w:txbxContent>
                  <w:p w14:paraId="5BD53ACE">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FE9F">
    <w:pPr>
      <w:pStyle w:val="8"/>
      <w:jc w:val="center"/>
      <w:rPr>
        <w:b w:val="0"/>
        <w:bCs/>
        <w:i/>
        <w:iCs/>
        <w:sz w:val="16"/>
        <w:szCs w:val="16"/>
      </w:rPr>
    </w:pPr>
    <w:r>
      <w:rPr>
        <w:sz w:val="16"/>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E7DF0D">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ZK93PMAgAA&#10;IwYAAA4AAAAAAAAAAQAgAAAAHwEAAGRycy9lMm9Eb2MueG1sUEsFBgAAAAAGAAYAWQEAAF0GAAAA&#10;AA==&#10;">
              <v:fill on="f" focussize="0,0"/>
              <v:stroke on="f" weight="0.5pt"/>
              <v:imagedata o:title=""/>
              <o:lock v:ext="edit" aspectratio="f"/>
              <v:textbox inset="0mm,0mm,0mm,0mm" style="mso-fit-shape-to-text:t;">
                <w:txbxContent>
                  <w:p w14:paraId="15E7DF0D">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cs="Times New Roman"/>
        <w:b w:val="0"/>
        <w:bCs/>
        <w:i/>
        <w:iCs/>
        <w:sz w:val="16"/>
        <w:szCs w:val="16"/>
      </w:rPr>
      <w:t>S</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Abdulrasheed,</w:t>
    </w:r>
    <w:r>
      <w:rPr>
        <w:rFonts w:hint="default" w:ascii="Times New Roman" w:hAnsi="Times New Roman" w:cs="Times New Roman"/>
        <w:b w:val="0"/>
        <w:bCs/>
        <w:i/>
        <w:iCs/>
        <w:sz w:val="16"/>
        <w:szCs w:val="16"/>
        <w:lang w:val="en-GB"/>
      </w:rPr>
      <w:t xml:space="preserve"> </w:t>
    </w:r>
    <w:r>
      <w:rPr>
        <w:rFonts w:ascii="Times New Roman" w:hAnsi="Times New Roman" w:cs="Times New Roman"/>
        <w:b w:val="0"/>
        <w:bCs/>
        <w:i/>
        <w:iCs/>
        <w:sz w:val="16"/>
        <w:szCs w:val="16"/>
      </w:rPr>
      <w:t>D</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Gideon,</w:t>
    </w:r>
    <w:r>
      <w:rPr>
        <w:rFonts w:hint="default" w:ascii="Times New Roman" w:hAnsi="Times New Roman" w:cs="Times New Roman"/>
        <w:b w:val="0"/>
        <w:bCs/>
        <w:i/>
        <w:iCs/>
        <w:sz w:val="16"/>
        <w:szCs w:val="16"/>
        <w:lang w:val="en-GB"/>
      </w:rPr>
      <w:t xml:space="preserve"> </w:t>
    </w:r>
    <w:r>
      <w:rPr>
        <w:rFonts w:ascii="Times New Roman" w:hAnsi="Times New Roman" w:cs="Times New Roman"/>
        <w:b w:val="0"/>
        <w:bCs/>
        <w:i/>
        <w:iCs/>
        <w:sz w:val="16"/>
        <w:szCs w:val="16"/>
      </w:rPr>
      <w:t>M</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A</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Baka  H</w:t>
    </w:r>
    <w:r>
      <w:rPr>
        <w:rFonts w:hint="default" w:ascii="Times New Roman" w:hAnsi="Times New Roman" w:cs="Times New Roman"/>
        <w:b w:val="0"/>
        <w:bCs/>
        <w:i/>
        <w:iCs/>
        <w:sz w:val="16"/>
        <w:szCs w:val="16"/>
        <w:lang w:val="en-GB"/>
      </w:rPr>
      <w:t>.</w:t>
    </w:r>
    <w:r>
      <w:rPr>
        <w:rFonts w:ascii="Times New Roman" w:hAnsi="Times New Roman" w:cs="Times New Roman"/>
        <w:b w:val="0"/>
        <w:bCs/>
        <w:i/>
        <w:iCs/>
        <w:sz w:val="16"/>
        <w:szCs w:val="16"/>
      </w:rPr>
      <w:t xml:space="preserve"> Abubakar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80115">
    <w:pPr>
      <w:spacing w:after="0" w:line="274" w:lineRule="auto"/>
      <w:rPr>
        <w:rFonts w:hint="default" w:ascii="Times New Roman" w:hAnsi="Times New Roman" w:cs="Times New Roman"/>
        <w:i/>
        <w:sz w:val="16"/>
        <w:szCs w:val="16"/>
      </w:rPr>
    </w:pPr>
    <w:r>
      <w:rPr>
        <w:rFonts w:hint="default" w:ascii="Times New Roman" w:hAnsi="Times New Roman" w:cs="Times New Roman"/>
        <w:i/>
        <w:kern w:val="0"/>
        <w:sz w:val="16"/>
        <w:szCs w:val="16"/>
        <w:lang w:eastAsia="zh-CN" w:bidi="ar"/>
      </w:rPr>
      <w:t>PLASU Journal of Environmental Sciences</w:t>
    </w:r>
  </w:p>
  <w:p w14:paraId="06C61388">
    <w:pPr>
      <w:pStyle w:val="9"/>
      <w:rPr>
        <w:rFonts w:hint="default" w:ascii="Times New Roman" w:hAnsi="Times New Roman" w:cs="Times New Roman"/>
      </w:rPr>
    </w:pPr>
    <w:r>
      <w:rPr>
        <w:rFonts w:hint="default" w:ascii="Times New Roman" w:hAnsi="Times New Roman" w:cs="Times New Roman"/>
        <w:i/>
        <w:kern w:val="0"/>
        <w:sz w:val="16"/>
        <w:szCs w:val="16"/>
        <w:lang w:eastAsia="zh-CN" w:bidi="ar"/>
      </w:rPr>
      <w:t xml:space="preserve">Vol.2, No. </w:t>
    </w:r>
    <w:r>
      <w:rPr>
        <w:rFonts w:hint="default" w:ascii="Times New Roman" w:hAnsi="Times New Roman" w:cs="Times New Roman"/>
        <w:i/>
        <w:kern w:val="0"/>
        <w:sz w:val="16"/>
        <w:szCs w:val="16"/>
        <w:lang w:val="en-GB" w:eastAsia="zh-CN" w:bidi="ar"/>
      </w:rPr>
      <w:t>2</w:t>
    </w:r>
    <w:r>
      <w:rPr>
        <w:rFonts w:hint="default" w:ascii="Times New Roman" w:hAnsi="Times New Roman" w:cs="Times New Roman"/>
        <w:i/>
        <w:kern w:val="0"/>
        <w:sz w:val="16"/>
        <w:szCs w:val="16"/>
        <w:lang w:eastAsia="zh-CN" w:bidi="ar"/>
      </w:rPr>
      <w:t xml:space="preserve">, </w:t>
    </w:r>
    <w:r>
      <w:rPr>
        <w:rFonts w:hint="default" w:ascii="Times New Roman" w:hAnsi="Times New Roman" w:cs="Times New Roman"/>
        <w:i/>
        <w:kern w:val="0"/>
        <w:sz w:val="16"/>
        <w:szCs w:val="16"/>
        <w:lang w:val="en-GB" w:eastAsia="zh-CN" w:bidi="ar"/>
      </w:rPr>
      <w:t xml:space="preserve">June </w:t>
    </w:r>
    <w:r>
      <w:rPr>
        <w:rFonts w:hint="default" w:ascii="Times New Roman" w:hAnsi="Times New Roman" w:cs="Times New Roman"/>
        <w:i/>
        <w:kern w:val="0"/>
        <w:sz w:val="16"/>
        <w:szCs w:val="16"/>
        <w:lang w:eastAsia="zh-CN" w:bidi="ar"/>
      </w:rPr>
      <w:t>202</w:t>
    </w:r>
    <w:r>
      <w:rPr>
        <w:rFonts w:hint="default" w:ascii="Times New Roman" w:hAnsi="Times New Roman" w:cs="Times New Roman"/>
        <w:i/>
        <w:kern w:val="0"/>
        <w:sz w:val="16"/>
        <w:szCs w:val="16"/>
        <w:lang w:val="en-GB" w:eastAsia="zh-CN" w:bidi="ar"/>
      </w:rPr>
      <w:t>6</w:t>
    </w:r>
    <w:r>
      <w:rPr>
        <w:rFonts w:hint="default" w:ascii="Times New Roman" w:hAnsi="Times New Roman" w:cs="Times New Roman"/>
        <w:i/>
        <w:kern w:val="0"/>
        <w:sz w:val="16"/>
        <w:szCs w:val="16"/>
        <w:lang w:eastAsia="zh-CN" w:bidi="ar"/>
      </w:rPr>
      <w:t>, E-ISSN 2360-9222</w:t>
    </w:r>
  </w:p>
  <w:p w14:paraId="57174B7C">
    <w:pPr>
      <w:pStyle w:val="9"/>
      <w:jc w:val="center"/>
      <w:rPr>
        <w:rFonts w:hint="default"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2AE25">
    <w:pPr>
      <w:spacing w:beforeAutospacing="1" w:after="0" w:line="252" w:lineRule="auto"/>
      <w:jc w:val="center"/>
      <w:rPr>
        <w:rFonts w:hint="default" w:ascii="Times New Roman" w:hAnsi="Times New Roman" w:cs="Times New Roman"/>
      </w:rPr>
    </w:pPr>
    <w:bookmarkStart w:id="14" w:name="_GoBack"/>
    <w:r>
      <w:rPr>
        <w:rFonts w:hint="default" w:ascii="Times New Roman" w:hAnsi="Times New Roman" w:cs="Times New Roman"/>
        <w:kern w:val="0"/>
        <w:lang w:eastAsia="zh-CN" w:bidi="ar"/>
      </w:rPr>
      <w:t xml:space="preserve">PLASU Journal of Environmental Sciences, E-ISSN 2360-9222, Vol.2, No. </w:t>
    </w:r>
    <w:r>
      <w:rPr>
        <w:rFonts w:hint="default" w:ascii="Times New Roman" w:hAnsi="Times New Roman" w:cs="Times New Roman"/>
        <w:kern w:val="0"/>
        <w:lang w:val="en-GB" w:eastAsia="zh-CN" w:bidi="ar"/>
      </w:rPr>
      <w:t>2</w:t>
    </w:r>
    <w:r>
      <w:rPr>
        <w:rFonts w:hint="default" w:ascii="Times New Roman" w:hAnsi="Times New Roman" w:cs="Times New Roman"/>
        <w:kern w:val="0"/>
        <w:lang w:eastAsia="zh-CN" w:bidi="ar"/>
      </w:rPr>
      <w:t xml:space="preserve">, </w:t>
    </w:r>
    <w:r>
      <w:rPr>
        <w:rFonts w:hint="default" w:ascii="Times New Roman" w:hAnsi="Times New Roman" w:cs="Times New Roman"/>
        <w:kern w:val="0"/>
        <w:lang w:val="en-GB" w:eastAsia="zh-CN" w:bidi="ar"/>
      </w:rPr>
      <w:t xml:space="preserve">June </w:t>
    </w:r>
    <w:r>
      <w:rPr>
        <w:rFonts w:hint="default" w:ascii="Times New Roman" w:hAnsi="Times New Roman" w:cs="Times New Roman"/>
        <w:kern w:val="0"/>
        <w:lang w:eastAsia="zh-CN" w:bidi="ar"/>
      </w:rPr>
      <w:t>202</w:t>
    </w:r>
    <w:r>
      <w:rPr>
        <w:rFonts w:hint="default" w:ascii="Times New Roman" w:hAnsi="Times New Roman" w:cs="Times New Roman"/>
        <w:kern w:val="0"/>
        <w:lang w:val="en-GB" w:eastAsia="zh-CN" w:bidi="ar"/>
      </w:rPr>
      <w:t>6</w:t>
    </w:r>
    <w:r>
      <w:rPr>
        <w:rFonts w:hint="default" w:ascii="Times New Roman" w:hAnsi="Times New Roman" w:cs="Times New Roman"/>
        <w:kern w:val="0"/>
        <w:lang w:eastAsia="zh-CN" w:bidi="ar"/>
      </w:rPr>
      <w:t>, Published by the Faculty of Environmental Sciences, Plateau State University, Bokkos.  https://</w:t>
    </w:r>
    <w:r>
      <w:rPr>
        <w:rFonts w:hint="default" w:ascii="Times New Roman" w:hAnsi="Times New Roman" w:cs="Times New Roman"/>
      </w:rPr>
      <w:fldChar w:fldCharType="begin"/>
    </w:r>
    <w:r>
      <w:rPr>
        <w:rFonts w:hint="default" w:ascii="Times New Roman" w:hAnsi="Times New Roman" w:cs="Times New Roman"/>
      </w:rPr>
      <w:instrText xml:space="preserve"> HYPERLINK "http://www.pjes.ng" </w:instrText>
    </w:r>
    <w:r>
      <w:rPr>
        <w:rFonts w:hint="default" w:ascii="Times New Roman" w:hAnsi="Times New Roman" w:cs="Times New Roman"/>
      </w:rPr>
      <w:fldChar w:fldCharType="separate"/>
    </w:r>
    <w:r>
      <w:rPr>
        <w:rStyle w:val="10"/>
        <w:rFonts w:hint="default" w:ascii="Times New Roman" w:hAnsi="Times New Roman" w:cs="Times New Roman"/>
        <w:color w:val="1155CC"/>
      </w:rPr>
      <w:t>www.pjes.ng</w:t>
    </w:r>
    <w:r>
      <w:rPr>
        <w:rStyle w:val="10"/>
        <w:rFonts w:hint="default" w:ascii="Times New Roman" w:hAnsi="Times New Roman" w:cs="Times New Roman"/>
        <w:color w:val="1155CC"/>
      </w:rPr>
      <w:fldChar w:fldCharType="end"/>
    </w:r>
  </w:p>
  <w:p w14:paraId="62C8AF46">
    <w:pPr>
      <w:pStyle w:val="9"/>
      <w:jc w:val="center"/>
      <w:rPr>
        <w:rFonts w:hint="default" w:ascii="Times New Roman" w:hAnsi="Times New Roman" w:eastAsia="Helvetica" w:cs="Times New Roman"/>
        <w:b w:val="0"/>
        <w:bCs w:val="0"/>
        <w:i w:val="0"/>
        <w:iCs w:val="0"/>
        <w:caps w:val="0"/>
        <w:spacing w:val="0"/>
        <w:sz w:val="19"/>
        <w:szCs w:val="19"/>
        <w:shd w:val="clear" w:fill="FFFFFF"/>
      </w:rPr>
    </w:pPr>
    <w:r>
      <w:rPr>
        <w:rFonts w:hint="default" w:ascii="Times New Roman" w:hAnsi="Times New Roman" w:eastAsia="Times New Roman" w:cs="Times New Roman"/>
        <w:b w:val="0"/>
        <w:bCs w:val="0"/>
        <w:kern w:val="0"/>
        <w:sz w:val="20"/>
        <w:szCs w:val="20"/>
        <w:highlight w:val="white"/>
        <w:lang w:eastAsia="zh-CN" w:bidi="ar"/>
      </w:rPr>
      <w:t xml:space="preserve">DOI: </w:t>
    </w:r>
    <w:r>
      <w:rPr>
        <w:rFonts w:hint="default" w:ascii="Times New Roman" w:hAnsi="Times New Roman" w:eastAsia="Times New Roman"/>
        <w:b w:val="0"/>
        <w:bCs w:val="0"/>
        <w:kern w:val="0"/>
        <w:sz w:val="20"/>
        <w:szCs w:val="20"/>
        <w:highlight w:val="white"/>
        <w:lang w:eastAsia="zh-CN"/>
      </w:rPr>
      <w:t>10.5281/zenodo.19401587</w:t>
    </w:r>
  </w:p>
  <w:p w14:paraId="526050CC">
    <w:pPr>
      <w:pStyle w:val="9"/>
      <w:jc w:val="center"/>
      <w:rPr>
        <w:rFonts w:hint="default" w:ascii="Times New Roman" w:hAnsi="Times New Roman" w:eastAsia="Helvetica" w:cs="Times New Roman"/>
        <w:b w:val="0"/>
        <w:bCs w:val="0"/>
        <w:i w:val="0"/>
        <w:iCs w:val="0"/>
        <w:caps w:val="0"/>
        <w:spacing w:val="0"/>
        <w:sz w:val="19"/>
        <w:szCs w:val="19"/>
        <w:shd w:val="clear" w:fill="FFFFFF"/>
      </w:rPr>
    </w:pPr>
  </w:p>
  <w:bookmarkEnd w:id="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4C50D7"/>
    <w:multiLevelType w:val="singleLevel"/>
    <w:tmpl w:val="B44C50D7"/>
    <w:lvl w:ilvl="0" w:tentative="0">
      <w:start w:val="5"/>
      <w:numFmt w:val="decimal"/>
      <w:suff w:val="space"/>
      <w:lvlText w:val="%1."/>
      <w:lvlJc w:val="left"/>
    </w:lvl>
  </w:abstractNum>
  <w:abstractNum w:abstractNumId="1">
    <w:nsid w:val="4E8B6EEE"/>
    <w:multiLevelType w:val="multilevel"/>
    <w:tmpl w:val="4E8B6EE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BD"/>
    <w:rsid w:val="00001692"/>
    <w:rsid w:val="00034EEE"/>
    <w:rsid w:val="00040CFF"/>
    <w:rsid w:val="0005750F"/>
    <w:rsid w:val="000B0EDF"/>
    <w:rsid w:val="000C17E9"/>
    <w:rsid w:val="000C4378"/>
    <w:rsid w:val="000E4E03"/>
    <w:rsid w:val="00146D44"/>
    <w:rsid w:val="00157475"/>
    <w:rsid w:val="00163DBA"/>
    <w:rsid w:val="001641A3"/>
    <w:rsid w:val="001821CA"/>
    <w:rsid w:val="0022631F"/>
    <w:rsid w:val="00266D45"/>
    <w:rsid w:val="0029335A"/>
    <w:rsid w:val="002F2B40"/>
    <w:rsid w:val="00315D10"/>
    <w:rsid w:val="0034146D"/>
    <w:rsid w:val="00365F08"/>
    <w:rsid w:val="0037003A"/>
    <w:rsid w:val="003A3563"/>
    <w:rsid w:val="003F66A2"/>
    <w:rsid w:val="0043562B"/>
    <w:rsid w:val="004657C8"/>
    <w:rsid w:val="00477691"/>
    <w:rsid w:val="004C5214"/>
    <w:rsid w:val="004C7463"/>
    <w:rsid w:val="0051254C"/>
    <w:rsid w:val="00562B96"/>
    <w:rsid w:val="005A3CE3"/>
    <w:rsid w:val="005B7B81"/>
    <w:rsid w:val="005D5E95"/>
    <w:rsid w:val="00645116"/>
    <w:rsid w:val="00651E33"/>
    <w:rsid w:val="006C4AE6"/>
    <w:rsid w:val="007411DC"/>
    <w:rsid w:val="00772E5E"/>
    <w:rsid w:val="00794FEF"/>
    <w:rsid w:val="007A18E2"/>
    <w:rsid w:val="007A3A2B"/>
    <w:rsid w:val="007B3743"/>
    <w:rsid w:val="007D5E0E"/>
    <w:rsid w:val="007F17BF"/>
    <w:rsid w:val="007F42C1"/>
    <w:rsid w:val="00823A15"/>
    <w:rsid w:val="00842466"/>
    <w:rsid w:val="00844807"/>
    <w:rsid w:val="008F4133"/>
    <w:rsid w:val="00907B51"/>
    <w:rsid w:val="009852A8"/>
    <w:rsid w:val="009A6F92"/>
    <w:rsid w:val="009C5BAE"/>
    <w:rsid w:val="009E6975"/>
    <w:rsid w:val="00A135B3"/>
    <w:rsid w:val="00A1642E"/>
    <w:rsid w:val="00A21B56"/>
    <w:rsid w:val="00A25E6E"/>
    <w:rsid w:val="00A25E7B"/>
    <w:rsid w:val="00A5185C"/>
    <w:rsid w:val="00A523D7"/>
    <w:rsid w:val="00AA5607"/>
    <w:rsid w:val="00AD1B6B"/>
    <w:rsid w:val="00AF593F"/>
    <w:rsid w:val="00B87854"/>
    <w:rsid w:val="00B87AA7"/>
    <w:rsid w:val="00BB66E2"/>
    <w:rsid w:val="00BB69BD"/>
    <w:rsid w:val="00BD6038"/>
    <w:rsid w:val="00BE54DE"/>
    <w:rsid w:val="00BF2294"/>
    <w:rsid w:val="00C161A8"/>
    <w:rsid w:val="00C83AB3"/>
    <w:rsid w:val="00D37AAE"/>
    <w:rsid w:val="00D45E80"/>
    <w:rsid w:val="00D56DED"/>
    <w:rsid w:val="00D76697"/>
    <w:rsid w:val="00D9164C"/>
    <w:rsid w:val="00DC1365"/>
    <w:rsid w:val="00DF278C"/>
    <w:rsid w:val="00E057C0"/>
    <w:rsid w:val="00E13487"/>
    <w:rsid w:val="00E33485"/>
    <w:rsid w:val="00EC33A7"/>
    <w:rsid w:val="00ED097D"/>
    <w:rsid w:val="00ED75E6"/>
    <w:rsid w:val="00F14E23"/>
    <w:rsid w:val="00F21E0F"/>
    <w:rsid w:val="00F3729F"/>
    <w:rsid w:val="00FA7896"/>
    <w:rsid w:val="00FC609E"/>
    <w:rsid w:val="014B3EC8"/>
    <w:rsid w:val="04175D0C"/>
    <w:rsid w:val="04823475"/>
    <w:rsid w:val="083E0C71"/>
    <w:rsid w:val="09B92A7E"/>
    <w:rsid w:val="1CC04285"/>
    <w:rsid w:val="2A4C2483"/>
    <w:rsid w:val="2B970280"/>
    <w:rsid w:val="316A7B1E"/>
    <w:rsid w:val="3626224A"/>
    <w:rsid w:val="3FE9484C"/>
    <w:rsid w:val="45677835"/>
    <w:rsid w:val="4C3E328A"/>
    <w:rsid w:val="6143039D"/>
    <w:rsid w:val="6CED5AD0"/>
    <w:rsid w:val="71386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11"/>
    <w:unhideWhenUsed/>
    <w:qFormat/>
    <w:uiPriority w:val="9"/>
    <w:pPr>
      <w:keepNext/>
      <w:keepLines/>
      <w:spacing w:before="320" w:after="120" w:line="360" w:lineRule="auto"/>
      <w:outlineLvl w:val="1"/>
    </w:pPr>
    <w:rPr>
      <w:rFonts w:asciiTheme="majorBidi" w:hAnsiTheme="majorBidi" w:eastAsiaTheme="majorEastAsia" w:cstheme="majorBidi"/>
      <w:b/>
      <w:bCs/>
      <w:color w:val="000000" w:themeColor="text1"/>
      <w:sz w:val="24"/>
      <w:szCs w:val="26"/>
      <w14:textFill>
        <w14:solidFill>
          <w14:schemeClr w14:val="tx1"/>
        </w14:solidFill>
      </w14:textFill>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semiHidden/>
    <w:unhideWhenUsed/>
    <w:qFormat/>
    <w:uiPriority w:val="99"/>
    <w:pPr>
      <w:spacing w:after="0" w:line="240" w:lineRule="auto"/>
    </w:pPr>
    <w:rPr>
      <w:rFonts w:ascii="Tahoma" w:hAnsi="Tahoma" w:cs="Tahoma"/>
      <w:sz w:val="16"/>
      <w:szCs w:val="16"/>
    </w:rPr>
  </w:style>
  <w:style w:type="character" w:styleId="6">
    <w:name w:val="annotation reference"/>
    <w:basedOn w:val="3"/>
    <w:semiHidden/>
    <w:unhideWhenUsed/>
    <w:qFormat/>
    <w:uiPriority w:val="99"/>
    <w:rPr>
      <w:sz w:val="16"/>
      <w:szCs w:val="16"/>
    </w:rPr>
  </w:style>
  <w:style w:type="paragraph" w:styleId="7">
    <w:name w:val="annotation text"/>
    <w:basedOn w:val="1"/>
    <w:semiHidden/>
    <w:unhideWhenUsed/>
    <w:qFormat/>
    <w:uiPriority w:val="99"/>
  </w:style>
  <w:style w:type="paragraph" w:styleId="8">
    <w:name w:val="footer"/>
    <w:basedOn w:val="1"/>
    <w:link w:val="17"/>
    <w:unhideWhenUsed/>
    <w:qFormat/>
    <w:uiPriority w:val="99"/>
    <w:pPr>
      <w:tabs>
        <w:tab w:val="center" w:pos="4680"/>
        <w:tab w:val="right" w:pos="9360"/>
      </w:tabs>
      <w:spacing w:after="0" w:line="240" w:lineRule="auto"/>
    </w:pPr>
  </w:style>
  <w:style w:type="paragraph" w:styleId="9">
    <w:name w:val="header"/>
    <w:basedOn w:val="1"/>
    <w:link w:val="16"/>
    <w:unhideWhenUsed/>
    <w:qFormat/>
    <w:uiPriority w:val="99"/>
    <w:pPr>
      <w:tabs>
        <w:tab w:val="center" w:pos="4680"/>
        <w:tab w:val="right" w:pos="9360"/>
      </w:tabs>
      <w:spacing w:after="0" w:line="240" w:lineRule="auto"/>
    </w:pPr>
  </w:style>
  <w:style w:type="character" w:styleId="10">
    <w:name w:val="Hyperlink"/>
    <w:basedOn w:val="3"/>
    <w:unhideWhenUsed/>
    <w:qFormat/>
    <w:uiPriority w:val="99"/>
    <w:rPr>
      <w:color w:val="0000FF" w:themeColor="hyperlink"/>
      <w:u w:val="single"/>
      <w14:textFill>
        <w14:solidFill>
          <w14:schemeClr w14:val="hlink"/>
        </w14:solidFill>
      </w14:textFill>
    </w:rPr>
  </w:style>
  <w:style w:type="character" w:customStyle="1" w:styleId="11">
    <w:name w:val="Heading 2 Char"/>
    <w:basedOn w:val="3"/>
    <w:link w:val="2"/>
    <w:qFormat/>
    <w:uiPriority w:val="9"/>
    <w:rPr>
      <w:rFonts w:asciiTheme="majorBidi" w:hAnsiTheme="majorBidi" w:eastAsiaTheme="majorEastAsia" w:cstheme="majorBidi"/>
      <w:b/>
      <w:bCs/>
      <w:color w:val="000000" w:themeColor="text1"/>
      <w:sz w:val="24"/>
      <w:szCs w:val="26"/>
      <w14:textFill>
        <w14:solidFill>
          <w14:schemeClr w14:val="tx1"/>
        </w14:solidFill>
      </w14:textFill>
    </w:rPr>
  </w:style>
  <w:style w:type="paragraph" w:customStyle="1" w:styleId="12">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styleId="13">
    <w:name w:val="List Paragraph"/>
    <w:basedOn w:val="1"/>
    <w:qFormat/>
    <w:uiPriority w:val="34"/>
    <w:pPr>
      <w:ind w:left="720"/>
      <w:contextualSpacing/>
    </w:pPr>
  </w:style>
  <w:style w:type="table" w:customStyle="1" w:styleId="14">
    <w:name w:val="List Table 6 Colorful1"/>
    <w:basedOn w:val="4"/>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5">
    <w:name w:val="Balloon Text Char"/>
    <w:basedOn w:val="3"/>
    <w:link w:val="5"/>
    <w:semiHidden/>
    <w:qFormat/>
    <w:uiPriority w:val="99"/>
    <w:rPr>
      <w:rFonts w:ascii="Tahoma" w:hAnsi="Tahoma" w:cs="Tahoma"/>
      <w:sz w:val="16"/>
      <w:szCs w:val="16"/>
    </w:rPr>
  </w:style>
  <w:style w:type="character" w:customStyle="1" w:styleId="16">
    <w:name w:val="Header Char"/>
    <w:basedOn w:val="3"/>
    <w:link w:val="9"/>
    <w:qFormat/>
    <w:uiPriority w:val="99"/>
  </w:style>
  <w:style w:type="character" w:customStyle="1" w:styleId="17">
    <w:name w:val="Footer Char"/>
    <w:basedOn w:val="3"/>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4519</Words>
  <Characters>25760</Characters>
  <Lines>214</Lines>
  <Paragraphs>60</Paragraphs>
  <TotalTime>0</TotalTime>
  <ScaleCrop>false</ScaleCrop>
  <LinksUpToDate>false</LinksUpToDate>
  <CharactersWithSpaces>30219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2026-03-02T21:07:00Z</dcterms:created>
  <dc:creator>USER</dc:creator>
  <cp:lastModifiedBy>New User</cp:lastModifiedBy>
  <dcterms:modified xsi:type="dcterms:W3CDTF">2026-04-03T13:02:37Z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A000626B3CD841348AE6381254137716_12</vt:lpwstr>
  </property>
</Properties>
</file>